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C087" w14:textId="77777777" w:rsidR="00D02BEB" w:rsidRDefault="00D02BEB" w:rsidP="00D02BEB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78A0203F" wp14:editId="3017241B">
            <wp:simplePos x="0" y="0"/>
            <wp:positionH relativeFrom="margin">
              <wp:posOffset>5695950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133CBDC7" wp14:editId="1C494985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5CF05" w14:textId="32978AB5" w:rsidR="00D02BEB" w:rsidRPr="00E37388" w:rsidRDefault="00D02BEB" w:rsidP="00D02BEB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Pr="00D02BE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Vasquez-Castro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3CBDC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4445CF05" w14:textId="32978AB5" w:rsidR="00D02BEB" w:rsidRPr="00E37388" w:rsidRDefault="00D02BEB" w:rsidP="00D02BEB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Pr="00D02BE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Vasquez-Castro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FA7B4" w14:textId="655449AF" w:rsidR="00D02BEB" w:rsidRPr="009B15CC" w:rsidRDefault="00D02BEB" w:rsidP="00D02BEB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"https://doi.org/10.26786/1920-7603(2025)836"</w:instrText>
      </w:r>
      <w:r>
        <w:fldChar w:fldCharType="separate"/>
      </w:r>
      <w:r w:rsidRPr="009B15CC">
        <w:rPr>
          <w:rStyle w:val="Hyperlink"/>
        </w:rPr>
        <w:t>DOI: 10.26786/1920-7603(2025)</w:t>
      </w:r>
      <w:r>
        <w:rPr>
          <w:rStyle w:val="Hyperlink"/>
        </w:rPr>
        <w:t>836</w:t>
      </w:r>
      <w:r w:rsidRPr="009B15CC">
        <w:rPr>
          <w:rStyle w:val="Hyperlink"/>
        </w:rPr>
        <w:t>X</w:t>
      </w:r>
    </w:p>
    <w:p w14:paraId="4D68C465" w14:textId="77777777" w:rsidR="00D02BEB" w:rsidRDefault="00D02BEB" w:rsidP="00D02BEB">
      <w:pPr>
        <w:spacing w:after="0" w:line="480" w:lineRule="auto"/>
        <w:rPr>
          <w:rFonts w:cs="Times New Roman"/>
          <w:bCs/>
          <w:smallCaps/>
        </w:rPr>
      </w:pPr>
      <w:r>
        <w:rPr>
          <w:rFonts w:cs="Times New Roman"/>
          <w:bCs/>
          <w:smallCaps/>
        </w:rPr>
        <w:fldChar w:fldCharType="end"/>
      </w:r>
    </w:p>
    <w:p w14:paraId="01B8C237" w14:textId="00DD85F5" w:rsidR="005830C5" w:rsidRPr="005830C5" w:rsidRDefault="005830C5" w:rsidP="00D02BEB">
      <w:pPr>
        <w:spacing w:after="0" w:line="480" w:lineRule="auto"/>
        <w:rPr>
          <w:rFonts w:ascii="Times New Roman" w:eastAsia="Arial" w:hAnsi="Times New Roman" w:cstheme="minorHAnsi"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t xml:space="preserve">Appendix I. </w:t>
      </w:r>
      <w:r w:rsidRPr="005830C5">
        <w:rPr>
          <w:rFonts w:ascii="Times New Roman" w:eastAsia="Arial" w:hAnsi="Times New Roman" w:cstheme="minorHAnsi"/>
          <w:lang w:val="en-GB" w:eastAsia="fr-CH"/>
        </w:rPr>
        <w:t xml:space="preserve"> Estimated marginal means of the proportion of pollen in each fate by species, obtained from beta-binomial GLMs. The table also summarizes the effects of flower species (</w:t>
      </w:r>
      <w:r w:rsidRPr="00AF1184">
        <w:rPr>
          <w:rFonts w:ascii="Times New Roman" w:eastAsia="Arial" w:hAnsi="Times New Roman" w:cstheme="minorHAnsi"/>
          <w:i/>
          <w:iCs/>
          <w:lang w:val="en-GB" w:eastAsia="fr-CH"/>
        </w:rPr>
        <w:t>S. dulcamara</w:t>
      </w:r>
      <w:r w:rsidRPr="005830C5">
        <w:rPr>
          <w:rFonts w:ascii="Times New Roman" w:eastAsia="Arial" w:hAnsi="Times New Roman" w:cstheme="minorHAnsi"/>
          <w:lang w:val="en-GB" w:eastAsia="fr-CH"/>
        </w:rPr>
        <w:t xml:space="preserve">, </w:t>
      </w:r>
      <w:r w:rsidRPr="00AF1184">
        <w:rPr>
          <w:rFonts w:ascii="Times New Roman" w:eastAsia="Arial" w:hAnsi="Times New Roman" w:cstheme="minorHAnsi"/>
          <w:i/>
          <w:iCs/>
          <w:lang w:val="en-GB" w:eastAsia="fr-CH"/>
        </w:rPr>
        <w:t>S. rostratum</w:t>
      </w:r>
      <w:r w:rsidRPr="005830C5">
        <w:rPr>
          <w:rFonts w:ascii="Times New Roman" w:eastAsia="Arial" w:hAnsi="Times New Roman" w:cstheme="minorHAnsi"/>
          <w:lang w:val="en-GB" w:eastAsia="fr-CH"/>
        </w:rPr>
        <w:t>) on the proportion of pollen allocated to four fates. S.E., standard error; L.C.L. and U.C.L., lower and upper 95% confidence limits, respectively; Z, z-value; P, p-value. N = 15, residual degrees of freedom = 12.</w:t>
      </w:r>
    </w:p>
    <w:tbl>
      <w:tblPr>
        <w:tblW w:w="7696" w:type="dxa"/>
        <w:tblLayout w:type="fixed"/>
        <w:tblLook w:val="06A0" w:firstRow="1" w:lastRow="0" w:firstColumn="1" w:lastColumn="0" w:noHBand="1" w:noVBand="1"/>
      </w:tblPr>
      <w:tblGrid>
        <w:gridCol w:w="1072"/>
        <w:gridCol w:w="1432"/>
        <w:gridCol w:w="1695"/>
        <w:gridCol w:w="864"/>
        <w:gridCol w:w="741"/>
        <w:gridCol w:w="949"/>
        <w:gridCol w:w="943"/>
      </w:tblGrid>
      <w:tr w:rsidR="005830C5" w:rsidRPr="005830C5" w14:paraId="46D221F3" w14:textId="77777777" w:rsidTr="00760C5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FF7739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8D84E1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2F549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CC6504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4C2D94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7D92E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78B55B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</w:tr>
      <w:tr w:rsidR="005830C5" w:rsidRPr="005830C5" w14:paraId="42B18FE3" w14:textId="77777777" w:rsidTr="00760C51">
        <w:trPr>
          <w:trHeight w:val="300"/>
        </w:trPr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6D427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Pollen fate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9BAB3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Species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05457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 xml:space="preserve">Estimated mean  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4694D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L.C.L.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C8AEF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U.C.L.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EDB9D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Z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FF1AB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P</w:t>
            </w:r>
          </w:p>
        </w:tc>
      </w:tr>
      <w:tr w:rsidR="005830C5" w:rsidRPr="005830C5" w14:paraId="49386859" w14:textId="77777777" w:rsidTr="00760C51">
        <w:trPr>
          <w:trHeight w:val="300"/>
        </w:trPr>
        <w:tc>
          <w:tcPr>
            <w:tcW w:w="107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0E9DF6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Body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2BD6B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S.dulcamara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7D83C9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0.133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98283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0.064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4CBAC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0.255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A524A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-0.305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7AF5E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0.760</w:t>
            </w:r>
          </w:p>
        </w:tc>
      </w:tr>
      <w:tr w:rsidR="005830C5" w:rsidRPr="005830C5" w14:paraId="426BD0B5" w14:textId="77777777" w:rsidTr="00760C51">
        <w:trPr>
          <w:trHeight w:val="300"/>
        </w:trPr>
        <w:tc>
          <w:tcPr>
            <w:tcW w:w="1072" w:type="dxa"/>
            <w:vMerge/>
            <w:vAlign w:val="center"/>
          </w:tcPr>
          <w:p w14:paraId="1407F879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D4012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S.rostratum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03C8AF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0.115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ACB54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0.048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B2FC1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0.252</w:t>
            </w:r>
          </w:p>
        </w:tc>
        <w:tc>
          <w:tcPr>
            <w:tcW w:w="949" w:type="dxa"/>
            <w:vMerge/>
            <w:vAlign w:val="center"/>
          </w:tcPr>
          <w:p w14:paraId="3E7E115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943" w:type="dxa"/>
            <w:vMerge/>
            <w:vAlign w:val="center"/>
          </w:tcPr>
          <w:p w14:paraId="056D052A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</w:tr>
      <w:tr w:rsidR="005830C5" w:rsidRPr="005830C5" w14:paraId="6432B507" w14:textId="77777777" w:rsidTr="00760C51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328F4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Corbiculae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AFD41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S.dulcamara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673CE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0.661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987AF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0.478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B2BBD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0.805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DCD39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-2.535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AF03D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0.011</w:t>
            </w:r>
          </w:p>
        </w:tc>
      </w:tr>
      <w:tr w:rsidR="005830C5" w:rsidRPr="005830C5" w14:paraId="6D8ACB1E" w14:textId="77777777" w:rsidTr="00760C51">
        <w:trPr>
          <w:trHeight w:val="300"/>
        </w:trPr>
        <w:tc>
          <w:tcPr>
            <w:tcW w:w="1072" w:type="dxa"/>
            <w:vMerge/>
            <w:vAlign w:val="center"/>
          </w:tcPr>
          <w:p w14:paraId="0857C5A8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46780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S.rostratum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776EA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DCA26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0.133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5044C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0.497</w:t>
            </w:r>
          </w:p>
        </w:tc>
        <w:tc>
          <w:tcPr>
            <w:tcW w:w="949" w:type="dxa"/>
            <w:vMerge/>
            <w:vAlign w:val="center"/>
          </w:tcPr>
          <w:p w14:paraId="5D6B78EF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943" w:type="dxa"/>
            <w:vMerge/>
            <w:vAlign w:val="center"/>
          </w:tcPr>
          <w:p w14:paraId="7F0B3F5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</w:tr>
      <w:tr w:rsidR="005830C5" w:rsidRPr="005830C5" w14:paraId="012F5599" w14:textId="77777777" w:rsidTr="00760C51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9F335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Dislodged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804FD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S.dulcamara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82D0E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951A5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0.111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204F1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0.368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586731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3.266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F9A4A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0.001</w:t>
            </w:r>
          </w:p>
        </w:tc>
      </w:tr>
      <w:tr w:rsidR="005830C5" w:rsidRPr="005830C5" w14:paraId="2E1DD94E" w14:textId="77777777" w:rsidTr="00760C51">
        <w:trPr>
          <w:trHeight w:val="300"/>
        </w:trPr>
        <w:tc>
          <w:tcPr>
            <w:tcW w:w="1072" w:type="dxa"/>
            <w:vMerge/>
            <w:vAlign w:val="center"/>
          </w:tcPr>
          <w:p w14:paraId="0FF36C68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92908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S.rostratum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BE3EB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0.668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7A2F7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0.460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7AE2A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0.826</w:t>
            </w:r>
          </w:p>
        </w:tc>
        <w:tc>
          <w:tcPr>
            <w:tcW w:w="949" w:type="dxa"/>
            <w:vMerge/>
            <w:vAlign w:val="center"/>
          </w:tcPr>
          <w:p w14:paraId="29553FD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943" w:type="dxa"/>
            <w:vMerge/>
            <w:vAlign w:val="center"/>
          </w:tcPr>
          <w:p w14:paraId="467FC10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</w:tr>
      <w:tr w:rsidR="005830C5" w:rsidRPr="005830C5" w14:paraId="283D5DDC" w14:textId="77777777" w:rsidTr="00760C51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26470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Stigma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9807CA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S.dulcamara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3B4F6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625E3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C4389E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0.017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BCF5C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-1.223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2E31E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0.221</w:t>
            </w:r>
          </w:p>
        </w:tc>
      </w:tr>
      <w:tr w:rsidR="005830C5" w:rsidRPr="005830C5" w14:paraId="23DFD299" w14:textId="77777777" w:rsidTr="00760C51">
        <w:trPr>
          <w:trHeight w:val="300"/>
        </w:trPr>
        <w:tc>
          <w:tcPr>
            <w:tcW w:w="1072" w:type="dxa"/>
            <w:vMerge/>
            <w:vAlign w:val="center"/>
          </w:tcPr>
          <w:p w14:paraId="55468CD3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95549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proofErr w:type="spellStart"/>
            <w:proofErr w:type="gramStart"/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S.rostratum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DA175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BD53B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40A24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0.013</w:t>
            </w:r>
          </w:p>
        </w:tc>
        <w:tc>
          <w:tcPr>
            <w:tcW w:w="949" w:type="dxa"/>
            <w:vMerge/>
            <w:vAlign w:val="center"/>
          </w:tcPr>
          <w:p w14:paraId="429DD30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  <w:tc>
          <w:tcPr>
            <w:tcW w:w="943" w:type="dxa"/>
            <w:vMerge/>
            <w:vAlign w:val="center"/>
          </w:tcPr>
          <w:p w14:paraId="3BB4D86E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Arial" w:hAnsi="Times New Roman" w:cstheme="minorHAnsi"/>
                <w:lang w:val="en-GB" w:eastAsia="fr-CH"/>
              </w:rPr>
            </w:pPr>
          </w:p>
        </w:tc>
      </w:tr>
      <w:tr w:rsidR="005830C5" w:rsidRPr="005830C5" w14:paraId="3B843760" w14:textId="77777777" w:rsidTr="00760C5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9EFADE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0AF4D5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5F7594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2EA5A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96C1E0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989B19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82D723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 </w:t>
            </w:r>
          </w:p>
        </w:tc>
      </w:tr>
    </w:tbl>
    <w:p w14:paraId="5A4D39A9" w14:textId="77777777" w:rsidR="005830C5" w:rsidRPr="005830C5" w:rsidRDefault="005830C5" w:rsidP="005830C5">
      <w:pPr>
        <w:spacing w:after="0" w:line="276" w:lineRule="auto"/>
        <w:rPr>
          <w:rFonts w:ascii="Times New Roman" w:eastAsia="Arial" w:hAnsi="Times New Roman" w:cstheme="minorHAnsi"/>
          <w:b/>
          <w:bCs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br w:type="page"/>
      </w:r>
    </w:p>
    <w:p w14:paraId="5FA9F5CA" w14:textId="77777777" w:rsidR="005830C5" w:rsidRPr="005830C5" w:rsidRDefault="005830C5" w:rsidP="005830C5">
      <w:pPr>
        <w:spacing w:after="0" w:line="480" w:lineRule="auto"/>
        <w:rPr>
          <w:rFonts w:ascii="Times New Roman" w:eastAsia="Arial" w:hAnsi="Times New Roman" w:cstheme="minorHAnsi"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lastRenderedPageBreak/>
        <w:t xml:space="preserve">Appendix II. </w:t>
      </w:r>
      <w:r w:rsidRPr="005830C5">
        <w:rPr>
          <w:rFonts w:ascii="Times New Roman" w:eastAsia="Arial" w:hAnsi="Times New Roman" w:cstheme="minorHAnsi"/>
          <w:lang w:val="en-GB" w:eastAsia="fr-CH"/>
        </w:rPr>
        <w:t>Summary of the statistical analysis evaluating the effects of recipient order, flower species (</w:t>
      </w:r>
      <w:r w:rsidRPr="005830C5">
        <w:rPr>
          <w:rFonts w:ascii="Times New Roman" w:eastAsia="Arial" w:hAnsi="Times New Roman" w:cstheme="minorHAnsi"/>
          <w:i/>
          <w:iCs/>
          <w:lang w:val="en-GB" w:eastAsia="fr-CH"/>
        </w:rPr>
        <w:t>S. dulcamara</w:t>
      </w:r>
      <w:r w:rsidRPr="005830C5">
        <w:rPr>
          <w:rFonts w:ascii="Times New Roman" w:eastAsia="Arial" w:hAnsi="Times New Roman" w:cstheme="minorHAnsi"/>
          <w:lang w:val="en-GB" w:eastAsia="fr-CH"/>
        </w:rPr>
        <w:t xml:space="preserve">, </w:t>
      </w:r>
      <w:r w:rsidRPr="005830C5">
        <w:rPr>
          <w:rFonts w:ascii="Times New Roman" w:eastAsia="Arial" w:hAnsi="Times New Roman" w:cstheme="minorHAnsi"/>
          <w:i/>
          <w:iCs/>
          <w:lang w:val="en-GB" w:eastAsia="fr-CH"/>
        </w:rPr>
        <w:t>S. rostratum</w:t>
      </w:r>
      <w:r w:rsidRPr="005830C5">
        <w:rPr>
          <w:rFonts w:ascii="Times New Roman" w:eastAsia="Arial" w:hAnsi="Times New Roman" w:cstheme="minorHAnsi"/>
          <w:lang w:val="en-GB" w:eastAsia="fr-CH"/>
        </w:rPr>
        <w:t>), log-transformed visit duration, and log-transformed number of donor pollen grains removed on pollen deposition. Model estimates were obtained from a GLMM with trial identity as a random effect, and recipient order, flower species, and visit duration as fixed effects. S.E., standard error; Z, z-value; P, p-value. N = 60, residual degrees of freedom = 53.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477"/>
        <w:gridCol w:w="1378"/>
        <w:gridCol w:w="1313"/>
        <w:gridCol w:w="1363"/>
        <w:gridCol w:w="1609"/>
      </w:tblGrid>
      <w:tr w:rsidR="005830C5" w:rsidRPr="005830C5" w14:paraId="608EC86B" w14:textId="77777777" w:rsidTr="00760C51">
        <w:trPr>
          <w:trHeight w:val="300"/>
        </w:trPr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4727B8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CB6F7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7F4BB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87B8F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D0AD23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</w:tr>
      <w:tr w:rsidR="005830C5" w:rsidRPr="005830C5" w14:paraId="6772A1EB" w14:textId="77777777" w:rsidTr="00760C51">
        <w:trPr>
          <w:trHeight w:val="450"/>
        </w:trPr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AB8D42" w14:textId="77777777" w:rsidR="005830C5" w:rsidRPr="005830C5" w:rsidRDefault="005830C5" w:rsidP="005830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Fixed effects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05700D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Estimate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C8B04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S.E.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1F115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Z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E850D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P</w:t>
            </w:r>
          </w:p>
        </w:tc>
      </w:tr>
      <w:tr w:rsidR="005830C5" w:rsidRPr="005830C5" w14:paraId="2AB900B1" w14:textId="77777777" w:rsidTr="00760C51">
        <w:trPr>
          <w:trHeight w:val="375"/>
        </w:trPr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BAB5B3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Intercept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D95B2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4.310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8A0FA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± 2.010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874D8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2.144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B57E4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0.032</w:t>
            </w:r>
          </w:p>
        </w:tc>
      </w:tr>
      <w:tr w:rsidR="005830C5" w:rsidRPr="005830C5" w14:paraId="1BEED988" w14:textId="77777777" w:rsidTr="00760C51">
        <w:trPr>
          <w:trHeight w:val="37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5C5CEC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 xml:space="preserve">Species: </w:t>
            </w: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65935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-0.954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D14C2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± 0.310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62C01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-3.082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A70295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0.002</w:t>
            </w:r>
          </w:p>
        </w:tc>
      </w:tr>
      <w:tr w:rsidR="005830C5" w:rsidRPr="005830C5" w14:paraId="02B93E78" w14:textId="77777777" w:rsidTr="00760C51">
        <w:trPr>
          <w:trHeight w:val="37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1BF19A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Recipient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10677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-0.339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5DA40E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± 0.098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6BA1E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-3.475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2ED54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0.001</w:t>
            </w:r>
          </w:p>
        </w:tc>
      </w:tr>
      <w:tr w:rsidR="005830C5" w:rsidRPr="005830C5" w14:paraId="481E99DE" w14:textId="77777777" w:rsidTr="00760C51">
        <w:trPr>
          <w:trHeight w:val="37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9E391E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proofErr w:type="gramStart"/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log(</w:t>
            </w:r>
            <w:proofErr w:type="gramEnd"/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visit duration)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01FE3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0.265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82EF1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± 0.110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1BB83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2.399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764AC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0.016</w:t>
            </w:r>
          </w:p>
        </w:tc>
      </w:tr>
      <w:tr w:rsidR="005830C5" w:rsidRPr="005830C5" w14:paraId="6DCE9209" w14:textId="77777777" w:rsidTr="00760C51">
        <w:trPr>
          <w:trHeight w:val="375"/>
        </w:trPr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01A5A0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proofErr w:type="gramStart"/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log(</w:t>
            </w:r>
            <w:proofErr w:type="gramEnd"/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donor released)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3BCC0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0.155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0E3D3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± 0.159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506F8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0.973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D37F7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0.330</w:t>
            </w:r>
          </w:p>
        </w:tc>
      </w:tr>
    </w:tbl>
    <w:p w14:paraId="28C542E1" w14:textId="77777777" w:rsidR="005830C5" w:rsidRPr="005830C5" w:rsidRDefault="005830C5" w:rsidP="005830C5">
      <w:pPr>
        <w:spacing w:after="0" w:line="480" w:lineRule="auto"/>
        <w:jc w:val="both"/>
        <w:rPr>
          <w:rFonts w:ascii="Times New Roman" w:eastAsia="Arial" w:hAnsi="Times New Roman" w:cstheme="minorHAnsi"/>
          <w:b/>
          <w:bCs/>
          <w:lang w:val="en-GB" w:eastAsia="fr-CH"/>
        </w:rPr>
      </w:pPr>
    </w:p>
    <w:p w14:paraId="32A382E3" w14:textId="77777777" w:rsidR="005830C5" w:rsidRPr="005830C5" w:rsidRDefault="005830C5" w:rsidP="005830C5">
      <w:pPr>
        <w:spacing w:after="0" w:line="276" w:lineRule="auto"/>
        <w:rPr>
          <w:rFonts w:ascii="Times New Roman" w:eastAsia="Arial" w:hAnsi="Times New Roman" w:cstheme="minorHAnsi"/>
          <w:b/>
          <w:bCs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br w:type="page"/>
      </w:r>
    </w:p>
    <w:p w14:paraId="45E10D70" w14:textId="77777777" w:rsidR="005830C5" w:rsidRPr="005830C5" w:rsidRDefault="005830C5" w:rsidP="005830C5">
      <w:pPr>
        <w:spacing w:after="0" w:line="480" w:lineRule="auto"/>
        <w:jc w:val="both"/>
        <w:rPr>
          <w:rFonts w:ascii="Times New Roman" w:eastAsia="Arial" w:hAnsi="Times New Roman" w:cstheme="minorHAnsi"/>
          <w:b/>
          <w:bCs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lastRenderedPageBreak/>
        <w:t xml:space="preserve">Appendix III. </w:t>
      </w:r>
      <w:r w:rsidRPr="005830C5">
        <w:rPr>
          <w:rFonts w:ascii="Times New Roman" w:eastAsia="Arial" w:hAnsi="Times New Roman" w:cstheme="minorHAnsi"/>
          <w:lang w:val="en-GB" w:eastAsia="fr-CH"/>
        </w:rPr>
        <w:t xml:space="preserve">Summary of cumulative predicted pollen receipt and corresponding underestimation across increasing numbers of sampled recipients for </w:t>
      </w:r>
      <w:r w:rsidRPr="005830C5">
        <w:rPr>
          <w:rFonts w:ascii="Times New Roman" w:eastAsia="Arial" w:hAnsi="Times New Roman" w:cstheme="minorHAnsi"/>
          <w:i/>
          <w:iCs/>
          <w:lang w:val="en-GB" w:eastAsia="fr-CH"/>
        </w:rPr>
        <w:t>S. dulcamara</w:t>
      </w:r>
      <w:r w:rsidRPr="005830C5">
        <w:rPr>
          <w:rFonts w:ascii="Times New Roman" w:eastAsia="Arial" w:hAnsi="Times New Roman" w:cstheme="minorHAnsi"/>
          <w:lang w:val="en-GB" w:eastAsia="fr-CH"/>
        </w:rPr>
        <w:t xml:space="preserve"> and S. rostratum. Cumulative deposition values are expressed per 100,000 pollen grains removed. Percent underestimation indicates the proportion of total predicted pollen not captured when sampling is limited to a given number of recipients.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022"/>
        <w:gridCol w:w="2193"/>
        <w:gridCol w:w="2603"/>
        <w:gridCol w:w="1899"/>
        <w:gridCol w:w="901"/>
      </w:tblGrid>
      <w:tr w:rsidR="005830C5" w:rsidRPr="005830C5" w14:paraId="2D092BD4" w14:textId="77777777" w:rsidTr="00760C51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CD6CC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D23DF9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A037B9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868BDF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B0D7C8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52F18A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</w:tr>
      <w:tr w:rsidR="005830C5" w:rsidRPr="005830C5" w14:paraId="2454C288" w14:textId="77777777" w:rsidTr="00760C51">
        <w:trPr>
          <w:trHeight w:val="945"/>
        </w:trPr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E31EA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Species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1D020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Recipient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E3BA4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Cumulative predicted pollen receipt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6F348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Cumulative predicted pollen receipt (Recipient = 20)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3EF1F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Underestimation (%)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D653A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fr-CH"/>
              </w:rPr>
              <w:t>PTE</w:t>
            </w:r>
          </w:p>
        </w:tc>
      </w:tr>
      <w:tr w:rsidR="005830C5" w:rsidRPr="005830C5" w14:paraId="2EFBE923" w14:textId="77777777" w:rsidTr="00760C51">
        <w:trPr>
          <w:trHeight w:val="285"/>
        </w:trPr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B7951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dulcamara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DFDB0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4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E2EB3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1734.940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6796D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12B6D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25.667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FCE57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1.735</w:t>
            </w:r>
          </w:p>
        </w:tc>
      </w:tr>
      <w:tr w:rsidR="005830C5" w:rsidRPr="005830C5" w14:paraId="5427D8BA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2BB49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dulcamara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BAD1C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0E947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2181.708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063470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A93D5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6.525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A35CB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2.182</w:t>
            </w:r>
          </w:p>
        </w:tc>
      </w:tr>
      <w:tr w:rsidR="005830C5" w:rsidRPr="005830C5" w14:paraId="217C8371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B23D07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dulcamara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DBE6C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30FA5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2296.756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01CA1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B24A9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1.596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E551B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2.297</w:t>
            </w:r>
          </w:p>
        </w:tc>
      </w:tr>
      <w:tr w:rsidR="005830C5" w:rsidRPr="005830C5" w14:paraId="03608F6C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CB551A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dulcamara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8C921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CE9AA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2326.383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0F1DD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F92EB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0.327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81888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2.326</w:t>
            </w:r>
          </w:p>
        </w:tc>
      </w:tr>
      <w:tr w:rsidR="005830C5" w:rsidRPr="005830C5" w14:paraId="0BAA2033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6AE1E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dulcamara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16A03B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1D22F3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D2A93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2334.012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B2236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06104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2.334</w:t>
            </w:r>
          </w:p>
        </w:tc>
      </w:tr>
      <w:tr w:rsidR="005830C5" w:rsidRPr="005830C5" w14:paraId="5B9C140D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A1F9CE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F90CE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71F00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668.412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12607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0C5F5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25.667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B38FB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0.668</w:t>
            </w:r>
          </w:p>
        </w:tc>
      </w:tr>
      <w:tr w:rsidR="005830C5" w:rsidRPr="005830C5" w14:paraId="0FDC5A1C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BA0AA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37203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DB309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840.536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E34E65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434E1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6.525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1864B6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0.841</w:t>
            </w:r>
          </w:p>
        </w:tc>
      </w:tr>
      <w:tr w:rsidR="005830C5" w:rsidRPr="005830C5" w14:paraId="0DBE5EB1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79AAA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95AC21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F93C70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884.860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907558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F296F2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1.596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95A3E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0.885</w:t>
            </w:r>
          </w:p>
        </w:tc>
      </w:tr>
      <w:tr w:rsidR="005830C5" w:rsidRPr="005830C5" w14:paraId="6A3368D7" w14:textId="77777777" w:rsidTr="00760C51">
        <w:trPr>
          <w:trHeight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436A7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59347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3ED17C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896.274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F75F7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16DEED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0.327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7323D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0.896</w:t>
            </w:r>
          </w:p>
        </w:tc>
      </w:tr>
      <w:tr w:rsidR="005830C5" w:rsidRPr="005830C5" w14:paraId="2BC8D129" w14:textId="77777777" w:rsidTr="00760C51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49E99B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fr-CH"/>
              </w:rPr>
              <w:t>S. rostratum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B93AF8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C2C909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A707B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899.213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DF6F64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C1117E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</w:pPr>
            <w:r w:rsidRPr="005830C5">
              <w:rPr>
                <w:rFonts w:ascii="Times New Roman" w:eastAsia="Times New Roman" w:hAnsi="Times New Roman" w:cs="Times New Roman"/>
                <w:color w:val="000000" w:themeColor="text1"/>
                <w:lang w:val="en-GB" w:eastAsia="fr-CH"/>
              </w:rPr>
              <w:t>0.899</w:t>
            </w:r>
          </w:p>
        </w:tc>
      </w:tr>
      <w:tr w:rsidR="005830C5" w:rsidRPr="005830C5" w14:paraId="1E89485B" w14:textId="77777777" w:rsidTr="00760C51">
        <w:trPr>
          <w:trHeight w:val="285"/>
        </w:trPr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0CE92F" w14:textId="77777777" w:rsidR="005830C5" w:rsidRPr="005830C5" w:rsidRDefault="005830C5" w:rsidP="005830C5">
            <w:pPr>
              <w:spacing w:after="0" w:line="48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5AA15D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ED5F34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6A0F61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DCCCA2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  <w:r w:rsidRPr="005830C5"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A35F3C" w14:textId="77777777" w:rsidR="005830C5" w:rsidRPr="005830C5" w:rsidRDefault="005830C5" w:rsidP="005830C5">
            <w:pPr>
              <w:spacing w:after="0" w:line="480" w:lineRule="auto"/>
              <w:jc w:val="both"/>
              <w:rPr>
                <w:rFonts w:ascii="Calibri" w:eastAsia="Calibri" w:hAnsi="Calibri" w:cs="Calibri"/>
                <w:color w:val="000000" w:themeColor="text1"/>
                <w:lang w:val="en-GB" w:eastAsia="fr-CH"/>
              </w:rPr>
            </w:pPr>
          </w:p>
        </w:tc>
      </w:tr>
    </w:tbl>
    <w:p w14:paraId="13A99072" w14:textId="77777777" w:rsidR="005830C5" w:rsidRPr="005830C5" w:rsidRDefault="005830C5" w:rsidP="005830C5">
      <w:pPr>
        <w:spacing w:after="0" w:line="276" w:lineRule="auto"/>
        <w:rPr>
          <w:rFonts w:ascii="Times New Roman" w:eastAsia="Arial" w:hAnsi="Times New Roman" w:cstheme="minorHAnsi"/>
          <w:b/>
          <w:bCs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br w:type="page"/>
      </w:r>
    </w:p>
    <w:p w14:paraId="6B172088" w14:textId="77777777" w:rsidR="005830C5" w:rsidRPr="005830C5" w:rsidRDefault="005830C5" w:rsidP="005830C5">
      <w:pPr>
        <w:spacing w:after="0" w:line="480" w:lineRule="auto"/>
        <w:jc w:val="both"/>
        <w:rPr>
          <w:rFonts w:ascii="Times New Roman" w:eastAsia="Arial" w:hAnsi="Times New Roman" w:cstheme="minorHAnsi"/>
          <w:lang w:val="en-GB" w:eastAsia="fr-CH"/>
        </w:rPr>
      </w:pPr>
      <w:r w:rsidRPr="005830C5">
        <w:rPr>
          <w:rFonts w:ascii="Times New Roman" w:eastAsia="Arial" w:hAnsi="Times New Roman" w:cstheme="minorHAnsi"/>
          <w:b/>
          <w:bCs/>
          <w:lang w:val="en-GB" w:eastAsia="fr-CH"/>
        </w:rPr>
        <w:lastRenderedPageBreak/>
        <w:t xml:space="preserve">Appendix IV. </w:t>
      </w:r>
      <w:r w:rsidRPr="005830C5">
        <w:rPr>
          <w:rFonts w:ascii="Times New Roman" w:eastAsia="Arial" w:hAnsi="Times New Roman" w:cstheme="minorHAnsi"/>
          <w:lang w:val="en-GB" w:eastAsia="fr-CH"/>
        </w:rPr>
        <w:t>Cumulative predicted pollen deposition on recipient stigmas across consecutive flowers in a bee’s visit sequence for S. dulcamara and S. rostratum. Lines show model-predicted cumulative deposition based on a negative binomial GLMM, assuming a constant pollen release of 100,000 grains and average visit duration. Shaded areas represent 95% confidence intervals. The dashed vertical line indicates the fourth recipient, which corresponds to the maximum number of recipients sampled in the experiment.</w:t>
      </w:r>
    </w:p>
    <w:p w14:paraId="7147E74E" w14:textId="77777777" w:rsidR="005830C5" w:rsidRPr="005830C5" w:rsidRDefault="005830C5" w:rsidP="005830C5">
      <w:pPr>
        <w:spacing w:after="0" w:line="480" w:lineRule="auto"/>
        <w:rPr>
          <w:rFonts w:ascii="Times New Roman" w:eastAsia="Arial" w:hAnsi="Times New Roman" w:cstheme="minorHAnsi"/>
          <w:lang w:val="en-GB" w:eastAsia="fr-CH"/>
        </w:rPr>
      </w:pPr>
      <w:r w:rsidRPr="005830C5">
        <w:rPr>
          <w:rFonts w:ascii="Times New Roman" w:eastAsia="Arial" w:hAnsi="Times New Roman" w:cstheme="minorHAnsi"/>
          <w:noProof/>
          <w:lang w:val="en-GB" w:eastAsia="fr-CH"/>
        </w:rPr>
        <w:drawing>
          <wp:inline distT="0" distB="0" distL="0" distR="0" wp14:anchorId="6E819CBC" wp14:editId="7D66CCCF">
            <wp:extent cx="5897764" cy="4422934"/>
            <wp:effectExtent l="0" t="0" r="0" b="0"/>
            <wp:docPr id="1542403966" name="Image 154240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764" cy="442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D93A" w14:textId="77777777" w:rsidR="003E2EC4" w:rsidRDefault="003E2EC4"/>
    <w:sectPr w:rsidR="003E2EC4" w:rsidSect="00D02BE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4"/>
    <w:rsid w:val="00303063"/>
    <w:rsid w:val="00342424"/>
    <w:rsid w:val="003E2EC4"/>
    <w:rsid w:val="005830C5"/>
    <w:rsid w:val="00AF1184"/>
    <w:rsid w:val="00D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B3F2"/>
  <w15:chartTrackingRefBased/>
  <w15:docId w15:val="{1BC1E93E-0C88-479E-BBB0-498A0F0E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5830C5"/>
  </w:style>
  <w:style w:type="character" w:styleId="Hyperlink">
    <w:name w:val="Hyperlink"/>
    <w:basedOn w:val="Absatz-Standardschriftart"/>
    <w:uiPriority w:val="99"/>
    <w:qFormat/>
    <w:rsid w:val="00D02BEB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D02BEB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bidi="en-US"/>
    </w:rPr>
  </w:style>
  <w:style w:type="character" w:customStyle="1" w:styleId="HeadingZchn">
    <w:name w:val="Heading Zchn"/>
    <w:basedOn w:val="Absatz-Standardschriftart"/>
    <w:link w:val="Heading"/>
    <w:rsid w:val="00D02BEB"/>
    <w:rPr>
      <w:rFonts w:ascii="Candara" w:eastAsia="Times New Roman" w:hAnsi="Candara" w:cs="Times New Roman"/>
      <w:b/>
      <w:bCs/>
      <w:smallCaps/>
      <w:lang w:bidi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D02BE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Garcia Simpson</dc:creator>
  <cp:keywords/>
  <dc:description/>
  <cp:lastModifiedBy>Carolin Mayer</cp:lastModifiedBy>
  <cp:revision>2</cp:revision>
  <dcterms:created xsi:type="dcterms:W3CDTF">2025-09-09T13:41:00Z</dcterms:created>
  <dcterms:modified xsi:type="dcterms:W3CDTF">2025-09-09T13:41:00Z</dcterms:modified>
</cp:coreProperties>
</file>