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75EF" w14:textId="77777777" w:rsidR="008C766E" w:rsidRDefault="008C766E" w:rsidP="008C766E">
      <w:pPr>
        <w:pStyle w:val="Heading"/>
      </w:pPr>
      <w:r w:rsidRPr="006050C3">
        <w:rPr>
          <w:rStyle w:val="Hyperlink"/>
          <w:rFonts w:eastAsiaTheme="majorEastAsia"/>
          <w:noProof/>
        </w:rPr>
        <w:drawing>
          <wp:anchor distT="0" distB="0" distL="114300" distR="114300" simplePos="0" relativeHeight="251659264" behindDoc="0" locked="0" layoutInCell="1" allowOverlap="1" wp14:anchorId="011FED92" wp14:editId="2BC5ABDC">
            <wp:simplePos x="0" y="0"/>
            <wp:positionH relativeFrom="margin">
              <wp:posOffset>5695950</wp:posOffset>
            </wp:positionH>
            <wp:positionV relativeFrom="paragraph">
              <wp:posOffset>133350</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61F158C2" wp14:editId="02E7031D">
                <wp:extent cx="6188710" cy="488749"/>
                <wp:effectExtent l="0" t="0" r="2540" b="6985"/>
                <wp:docPr id="6" name="Textfeld 6"/>
                <wp:cNvGraphicFramePr/>
                <a:graphic xmlns:a="http://schemas.openxmlformats.org/drawingml/2006/main">
                  <a:graphicData uri="http://schemas.microsoft.com/office/word/2010/wordprocessingShape">
                    <wps:wsp>
                      <wps:cNvSpPr txBox="1"/>
                      <wps:spPr>
                        <a:xfrm>
                          <a:off x="0" y="0"/>
                          <a:ext cx="6188710" cy="488749"/>
                        </a:xfrm>
                        <a:prstGeom prst="rect">
                          <a:avLst/>
                        </a:prstGeom>
                        <a:solidFill>
                          <a:srgbClr val="FCB424"/>
                        </a:solidFill>
                        <a:ln w="6350">
                          <a:noFill/>
                        </a:ln>
                      </wps:spPr>
                      <wps:txbx>
                        <w:txbxContent>
                          <w:p w14:paraId="6F52F1FF" w14:textId="3A267EDB" w:rsidR="008C766E" w:rsidRPr="00E37388" w:rsidRDefault="008C766E" w:rsidP="008C766E">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39(22), Gauger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F158C2" id="_x0000_t202" coordsize="21600,21600" o:spt="202" path="m,l,21600r21600,l21600,xe">
                <v:stroke joinstyle="miter"/>
                <v:path gradientshapeok="t" o:connecttype="rect"/>
              </v:shapetype>
              <v:shape id="Textfeld 6" o:spid="_x0000_s1026" type="#_x0000_t202" style="width:487.3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" fillcolor="#fcb424" stroked="f" strokeweight=".5pt">
                <v:textbox>
                  <w:txbxContent>
                    <w:p w14:paraId="6F52F1FF" w14:textId="3A267EDB" w:rsidR="008C766E" w:rsidRPr="00E37388" w:rsidRDefault="008C766E" w:rsidP="008C766E">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39(22), Gauger et al.</w:t>
                      </w:r>
                    </w:p>
                  </w:txbxContent>
                </v:textbox>
                <w10:anchorlock/>
              </v:shape>
            </w:pict>
          </mc:Fallback>
        </mc:AlternateContent>
      </w:r>
    </w:p>
    <w:p w14:paraId="2ECB0A9F" w14:textId="7577B7C3" w:rsidR="008C766E" w:rsidRPr="009B15CC" w:rsidRDefault="008C766E" w:rsidP="008C766E">
      <w:pPr>
        <w:pStyle w:val="Heading"/>
        <w:rPr>
          <w:rStyle w:val="Hyperlink"/>
          <w:rFonts w:eastAsiaTheme="majorEastAsia"/>
        </w:rPr>
      </w:pPr>
      <w:r>
        <w:fldChar w:fldCharType="begin"/>
      </w:r>
      <w:r>
        <w:instrText>HYPERLINK "https://doi.org/10.26786/1920-7603(2025)859"</w:instrText>
      </w:r>
      <w:r>
        <w:fldChar w:fldCharType="separate"/>
      </w:r>
      <w:r w:rsidRPr="009B15CC">
        <w:rPr>
          <w:rStyle w:val="Hyperlink"/>
          <w:rFonts w:eastAsiaTheme="majorEastAsia"/>
        </w:rPr>
        <w:t>DOI: 10.26786/1920-7603(2025)</w:t>
      </w:r>
      <w:r>
        <w:rPr>
          <w:rStyle w:val="Hyperlink"/>
          <w:rFonts w:eastAsiaTheme="majorEastAsia"/>
        </w:rPr>
        <w:t>859</w:t>
      </w:r>
    </w:p>
    <w:p w14:paraId="07DED642" w14:textId="3E634376" w:rsidR="008C766E" w:rsidRDefault="008C766E" w:rsidP="008C766E">
      <w:pPr>
        <w:rPr>
          <w:rFonts w:asciiTheme="majorBidi" w:hAnsiTheme="majorBidi" w:cstheme="majorBidi"/>
          <w:b/>
          <w:bCs/>
        </w:rPr>
      </w:pPr>
      <w:r>
        <w:rPr>
          <w:rFonts w:cs="Times New Roman"/>
          <w:bCs/>
          <w:smallCaps/>
          <w:sz w:val="22"/>
          <w:szCs w:val="22"/>
        </w:rPr>
        <w:fldChar w:fldCharType="end"/>
      </w:r>
    </w:p>
    <w:p w14:paraId="79EBF9AC" w14:textId="41C3995A" w:rsidR="00A650A7" w:rsidRDefault="00A01D4B" w:rsidP="1EF0EC97">
      <w:pPr>
        <w:rPr>
          <w:rFonts w:asciiTheme="majorBidi" w:hAnsiTheme="majorBidi" w:cstheme="majorBidi"/>
        </w:rPr>
      </w:pPr>
      <w:r w:rsidRPr="1EF0EC97">
        <w:rPr>
          <w:rFonts w:asciiTheme="majorBidi" w:hAnsiTheme="majorBidi" w:cstheme="majorBidi"/>
          <w:b/>
          <w:bCs/>
        </w:rPr>
        <w:t>Appendix I</w:t>
      </w:r>
      <w:r w:rsidR="00285504" w:rsidRPr="1EF0EC97">
        <w:rPr>
          <w:rFonts w:asciiTheme="majorBidi" w:hAnsiTheme="majorBidi" w:cstheme="majorBidi"/>
          <w:b/>
          <w:bCs/>
        </w:rPr>
        <w:t>.</w:t>
      </w:r>
      <w:r w:rsidRPr="1EF0EC97">
        <w:rPr>
          <w:rFonts w:asciiTheme="majorBidi" w:hAnsiTheme="majorBidi" w:cstheme="majorBidi"/>
        </w:rPr>
        <w:t xml:space="preserve"> </w:t>
      </w:r>
      <w:r w:rsidR="00285504" w:rsidRPr="1EF0EC97">
        <w:rPr>
          <w:rFonts w:asciiTheme="majorBidi" w:hAnsiTheme="majorBidi" w:cstheme="majorBidi"/>
        </w:rPr>
        <w:t>Nest box dissection protocol used in our experiments</w:t>
      </w:r>
      <w:r w:rsidR="23C965AA" w:rsidRPr="1EF0EC97">
        <w:rPr>
          <w:rFonts w:asciiTheme="majorBidi" w:hAnsiTheme="majorBidi" w:cstheme="majorBidi"/>
        </w:rPr>
        <w:t>, adapted from Campbell et al. (2019).</w:t>
      </w:r>
    </w:p>
    <w:p w14:paraId="6CD63E9B" w14:textId="45CAA41D" w:rsidR="00A650A7" w:rsidRPr="00E833E1" w:rsidRDefault="06679202" w:rsidP="2226E545">
      <w:pPr>
        <w:pStyle w:val="Listenabsatz"/>
        <w:numPr>
          <w:ilvl w:val="0"/>
          <w:numId w:val="1"/>
        </w:numPr>
        <w:spacing w:line="259" w:lineRule="auto"/>
        <w:rPr>
          <w:rFonts w:asciiTheme="majorBidi" w:eastAsia="Yu Gothic Medium" w:hAnsiTheme="majorBidi" w:cstheme="majorBidi"/>
        </w:rPr>
      </w:pPr>
      <w:r w:rsidRPr="1EF0EC97">
        <w:rPr>
          <w:rFonts w:asciiTheme="majorBidi" w:eastAsia="Yu Gothic Medium" w:hAnsiTheme="majorBidi" w:cstheme="majorBidi"/>
        </w:rPr>
        <w:t xml:space="preserve">Weigh the cardboard nest box with all contents and record (kg). </w:t>
      </w:r>
      <w:r w:rsidR="00A650A7" w:rsidRPr="1EF0EC97">
        <w:rPr>
          <w:rFonts w:asciiTheme="majorBidi" w:eastAsia="Yu Gothic Medium" w:hAnsiTheme="majorBidi" w:cstheme="majorBidi"/>
        </w:rPr>
        <w:t xml:space="preserve">Remove black plastic </w:t>
      </w:r>
      <w:r w:rsidR="2E171C14" w:rsidRPr="1EF0EC97">
        <w:rPr>
          <w:rFonts w:asciiTheme="majorBidi" w:eastAsia="Yu Gothic Medium" w:hAnsiTheme="majorBidi" w:cstheme="majorBidi"/>
        </w:rPr>
        <w:t xml:space="preserve">nest </w:t>
      </w:r>
      <w:r w:rsidR="00A650A7" w:rsidRPr="1EF0EC97">
        <w:rPr>
          <w:rFonts w:asciiTheme="majorBidi" w:eastAsia="Yu Gothic Medium" w:hAnsiTheme="majorBidi" w:cstheme="majorBidi"/>
        </w:rPr>
        <w:t xml:space="preserve">box from cardboard casing. Weigh </w:t>
      </w:r>
      <w:r w:rsidR="15FF8DB0" w:rsidRPr="1EF0EC97">
        <w:rPr>
          <w:rFonts w:asciiTheme="majorBidi" w:eastAsia="Yu Gothic Medium" w:hAnsiTheme="majorBidi" w:cstheme="majorBidi"/>
        </w:rPr>
        <w:t xml:space="preserve">the </w:t>
      </w:r>
      <w:r w:rsidR="00A650A7" w:rsidRPr="1EF0EC97">
        <w:rPr>
          <w:rFonts w:asciiTheme="majorBidi" w:eastAsia="Yu Gothic Medium" w:hAnsiTheme="majorBidi" w:cstheme="majorBidi"/>
        </w:rPr>
        <w:t xml:space="preserve">black plastic box with all contents </w:t>
      </w:r>
      <w:r w:rsidR="0036AED9" w:rsidRPr="1EF0EC97">
        <w:rPr>
          <w:rFonts w:asciiTheme="majorBidi" w:eastAsia="Yu Gothic Medium" w:hAnsiTheme="majorBidi" w:cstheme="majorBidi"/>
        </w:rPr>
        <w:t xml:space="preserve">(kg) </w:t>
      </w:r>
      <w:r w:rsidR="01B33EF5" w:rsidRPr="1EF0EC97">
        <w:rPr>
          <w:rFonts w:asciiTheme="majorBidi" w:eastAsia="Yu Gothic Medium" w:hAnsiTheme="majorBidi" w:cstheme="majorBidi"/>
        </w:rPr>
        <w:t xml:space="preserve">and record </w:t>
      </w:r>
      <w:r w:rsidR="00A650A7" w:rsidRPr="1EF0EC97">
        <w:rPr>
          <w:rFonts w:asciiTheme="majorBidi" w:eastAsia="Yu Gothic Medium" w:hAnsiTheme="majorBidi" w:cstheme="majorBidi"/>
        </w:rPr>
        <w:t xml:space="preserve">as </w:t>
      </w:r>
      <w:r w:rsidR="22C1A0F6" w:rsidRPr="1EF0EC97">
        <w:rPr>
          <w:rFonts w:asciiTheme="majorBidi" w:eastAsia="Yu Gothic Medium" w:hAnsiTheme="majorBidi" w:cstheme="majorBidi"/>
        </w:rPr>
        <w:t>“</w:t>
      </w:r>
      <w:r w:rsidR="4A66471B" w:rsidRPr="1EF0EC97">
        <w:rPr>
          <w:rFonts w:asciiTheme="majorBidi" w:eastAsia="Yu Gothic Medium" w:hAnsiTheme="majorBidi" w:cstheme="majorBidi"/>
        </w:rPr>
        <w:t>nest structure mass</w:t>
      </w:r>
      <w:r w:rsidR="00A650A7" w:rsidRPr="1EF0EC97">
        <w:rPr>
          <w:rFonts w:asciiTheme="majorBidi" w:eastAsia="Yu Gothic Medium" w:hAnsiTheme="majorBidi" w:cstheme="majorBidi"/>
        </w:rPr>
        <w:t>.</w:t>
      </w:r>
      <w:r w:rsidR="613EBE2D" w:rsidRPr="1EF0EC97">
        <w:rPr>
          <w:rFonts w:asciiTheme="majorBidi" w:eastAsia="Yu Gothic Medium" w:hAnsiTheme="majorBidi" w:cstheme="majorBidi"/>
        </w:rPr>
        <w:t>”</w:t>
      </w:r>
      <w:r w:rsidR="00A650A7" w:rsidRPr="1EF0EC97">
        <w:rPr>
          <w:rFonts w:asciiTheme="majorBidi" w:eastAsia="Yu Gothic Medium" w:hAnsiTheme="majorBidi" w:cstheme="majorBidi"/>
        </w:rPr>
        <w:t xml:space="preserve"> Weigh bladder with remaining sugar solution</w:t>
      </w:r>
      <w:r w:rsidR="2A380161" w:rsidRPr="1EF0EC97">
        <w:rPr>
          <w:rFonts w:asciiTheme="majorBidi" w:eastAsia="Yu Gothic Medium" w:hAnsiTheme="majorBidi" w:cstheme="majorBidi"/>
        </w:rPr>
        <w:t xml:space="preserve"> (kg)</w:t>
      </w:r>
      <w:r w:rsidR="53B145B4" w:rsidRPr="1EF0EC97">
        <w:rPr>
          <w:rFonts w:asciiTheme="majorBidi" w:eastAsia="Yu Gothic Medium" w:hAnsiTheme="majorBidi" w:cstheme="majorBidi"/>
        </w:rPr>
        <w:t xml:space="preserve"> and record</w:t>
      </w:r>
      <w:r w:rsidR="00A650A7" w:rsidRPr="1EF0EC97">
        <w:rPr>
          <w:rFonts w:asciiTheme="majorBidi" w:eastAsia="Yu Gothic Medium" w:hAnsiTheme="majorBidi" w:cstheme="majorBidi"/>
        </w:rPr>
        <w:t xml:space="preserve">.  </w:t>
      </w:r>
    </w:p>
    <w:p w14:paraId="722CBBB6" w14:textId="286DF762" w:rsidR="00A650A7" w:rsidRPr="00E833E1" w:rsidRDefault="1B31AED1" w:rsidP="1EF0EC97">
      <w:pPr>
        <w:pStyle w:val="Listenabsatz"/>
        <w:numPr>
          <w:ilvl w:val="0"/>
          <w:numId w:val="1"/>
        </w:numPr>
        <w:spacing w:line="259" w:lineRule="auto"/>
        <w:rPr>
          <w:rFonts w:asciiTheme="majorBidi" w:eastAsia="Yu Gothic Medium" w:hAnsiTheme="majorBidi" w:cstheme="majorBidi"/>
        </w:rPr>
      </w:pPr>
      <w:r w:rsidRPr="1EF0EC97">
        <w:rPr>
          <w:rFonts w:asciiTheme="majorBidi" w:eastAsia="Yu Gothic Medium" w:hAnsiTheme="majorBidi" w:cstheme="majorBidi"/>
        </w:rPr>
        <w:t xml:space="preserve">Open the black plastic nest box and photograph whole colony within before proceeding. </w:t>
      </w:r>
      <w:r w:rsidR="18A92732" w:rsidRPr="1EF0EC97">
        <w:rPr>
          <w:rFonts w:asciiTheme="majorBidi" w:eastAsia="Yu Gothic Medium" w:hAnsiTheme="majorBidi" w:cstheme="majorBidi"/>
        </w:rPr>
        <w:t>R</w:t>
      </w:r>
      <w:r w:rsidR="00A650A7" w:rsidRPr="1EF0EC97">
        <w:rPr>
          <w:rFonts w:asciiTheme="majorBidi" w:eastAsia="Yu Gothic Medium" w:hAnsiTheme="majorBidi" w:cstheme="majorBidi"/>
        </w:rPr>
        <w:t xml:space="preserve">emove </w:t>
      </w:r>
      <w:r w:rsidR="221909B9" w:rsidRPr="1EF0EC97">
        <w:rPr>
          <w:rFonts w:asciiTheme="majorBidi" w:eastAsia="Yu Gothic Medium" w:hAnsiTheme="majorBidi" w:cstheme="majorBidi"/>
        </w:rPr>
        <w:t xml:space="preserve">the </w:t>
      </w:r>
      <w:r w:rsidR="00A650A7" w:rsidRPr="1EF0EC97">
        <w:rPr>
          <w:rFonts w:asciiTheme="majorBidi" w:eastAsia="Yu Gothic Medium" w:hAnsiTheme="majorBidi" w:cstheme="majorBidi"/>
        </w:rPr>
        <w:t xml:space="preserve">white plastic tray holding the majority of the </w:t>
      </w:r>
      <w:r w:rsidR="4C18044E" w:rsidRPr="1EF0EC97">
        <w:rPr>
          <w:rFonts w:asciiTheme="majorBidi" w:eastAsia="Yu Gothic Medium" w:hAnsiTheme="majorBidi" w:cstheme="majorBidi"/>
        </w:rPr>
        <w:t>nest</w:t>
      </w:r>
      <w:r w:rsidR="72544CF7" w:rsidRPr="1EF0EC97">
        <w:rPr>
          <w:rFonts w:asciiTheme="majorBidi" w:eastAsia="Yu Gothic Medium" w:hAnsiTheme="majorBidi" w:cstheme="majorBidi"/>
        </w:rPr>
        <w:t xml:space="preserve"> structure</w:t>
      </w:r>
      <w:r w:rsidR="0497C0DF" w:rsidRPr="1EF0EC97">
        <w:rPr>
          <w:rFonts w:asciiTheme="majorBidi" w:eastAsia="Yu Gothic Medium" w:hAnsiTheme="majorBidi" w:cstheme="majorBidi"/>
        </w:rPr>
        <w:t xml:space="preserve"> (brown waxy clumps)</w:t>
      </w:r>
      <w:r w:rsidR="00A650A7" w:rsidRPr="1EF0EC97">
        <w:rPr>
          <w:rFonts w:asciiTheme="majorBidi" w:eastAsia="Yu Gothic Medium" w:hAnsiTheme="majorBidi" w:cstheme="majorBidi"/>
        </w:rPr>
        <w:t xml:space="preserve">. Check </w:t>
      </w:r>
      <w:r w:rsidR="5FAE2A27" w:rsidRPr="1EF0EC97">
        <w:rPr>
          <w:rFonts w:asciiTheme="majorBidi" w:eastAsia="Yu Gothic Medium" w:hAnsiTheme="majorBidi" w:cstheme="majorBidi"/>
        </w:rPr>
        <w:t xml:space="preserve">the </w:t>
      </w:r>
      <w:r w:rsidR="00A650A7" w:rsidRPr="1EF0EC97">
        <w:rPr>
          <w:rFonts w:asciiTheme="majorBidi" w:eastAsia="Yu Gothic Medium" w:hAnsiTheme="majorBidi" w:cstheme="majorBidi"/>
        </w:rPr>
        <w:t>underside of white plastic tray, interior and exterior of black plastic box, and interior of cardboard casing for any adults, brood, or other species present</w:t>
      </w:r>
      <w:r w:rsidR="002A76E7" w:rsidRPr="1EF0EC97">
        <w:rPr>
          <w:rFonts w:asciiTheme="majorBidi" w:eastAsia="Yu Gothic Medium" w:hAnsiTheme="majorBidi" w:cstheme="majorBidi"/>
        </w:rPr>
        <w:t xml:space="preserve"> and include them in the dissection counts. </w:t>
      </w:r>
    </w:p>
    <w:p w14:paraId="392A3B9D" w14:textId="6BDD5069" w:rsidR="00A650A7" w:rsidRPr="00E833E1" w:rsidRDefault="00A650A7" w:rsidP="1EF0EC97">
      <w:pPr>
        <w:pStyle w:val="Listenabsatz"/>
        <w:numPr>
          <w:ilvl w:val="0"/>
          <w:numId w:val="1"/>
        </w:numPr>
        <w:spacing w:line="259" w:lineRule="auto"/>
        <w:rPr>
          <w:rFonts w:asciiTheme="majorBidi" w:eastAsia="Yu Gothic Medium" w:hAnsiTheme="majorBidi" w:cstheme="majorBidi"/>
        </w:rPr>
      </w:pPr>
      <w:r w:rsidRPr="1EF0EC97">
        <w:rPr>
          <w:rFonts w:asciiTheme="majorBidi" w:eastAsia="Yu Gothic Medium" w:hAnsiTheme="majorBidi" w:cstheme="majorBidi"/>
        </w:rPr>
        <w:t xml:space="preserve">Begin gently removing adult bees with </w:t>
      </w:r>
      <w:r w:rsidR="002A76E7" w:rsidRPr="1EF0EC97">
        <w:rPr>
          <w:rFonts w:asciiTheme="majorBidi" w:eastAsia="Yu Gothic Medium" w:hAnsiTheme="majorBidi" w:cstheme="majorBidi"/>
        </w:rPr>
        <w:t xml:space="preserve">soft </w:t>
      </w:r>
      <w:r w:rsidRPr="1EF0EC97">
        <w:rPr>
          <w:rFonts w:asciiTheme="majorBidi" w:eastAsia="Yu Gothic Medium" w:hAnsiTheme="majorBidi" w:cstheme="majorBidi"/>
        </w:rPr>
        <w:t>forceps</w:t>
      </w:r>
      <w:r w:rsidR="52EA3494" w:rsidRPr="1EF0EC97">
        <w:rPr>
          <w:rFonts w:asciiTheme="majorBidi" w:eastAsia="Yu Gothic Medium" w:hAnsiTheme="majorBidi" w:cstheme="majorBidi"/>
        </w:rPr>
        <w:t xml:space="preserve">, </w:t>
      </w:r>
      <w:r w:rsidR="00061D57" w:rsidRPr="1EF0EC97">
        <w:rPr>
          <w:rFonts w:asciiTheme="majorBidi" w:eastAsia="Yu Gothic Medium" w:hAnsiTheme="majorBidi" w:cstheme="majorBidi"/>
        </w:rPr>
        <w:t>sort them</w:t>
      </w:r>
      <w:r w:rsidRPr="1EF0EC97">
        <w:rPr>
          <w:rFonts w:asciiTheme="majorBidi" w:eastAsia="Yu Gothic Medium" w:hAnsiTheme="majorBidi" w:cstheme="majorBidi"/>
        </w:rPr>
        <w:t xml:space="preserve"> </w:t>
      </w:r>
      <w:r w:rsidR="2646AA3A" w:rsidRPr="1EF0EC97">
        <w:rPr>
          <w:rFonts w:asciiTheme="majorBidi" w:eastAsia="Yu Gothic Medium" w:hAnsiTheme="majorBidi" w:cstheme="majorBidi"/>
        </w:rPr>
        <w:t xml:space="preserve">into adults and </w:t>
      </w:r>
      <w:r w:rsidRPr="1EF0EC97">
        <w:rPr>
          <w:rFonts w:asciiTheme="majorBidi" w:eastAsia="Yu Gothic Medium" w:hAnsiTheme="majorBidi" w:cstheme="majorBidi"/>
        </w:rPr>
        <w:t>queens</w:t>
      </w:r>
      <w:r w:rsidR="52F503BC" w:rsidRPr="1EF0EC97">
        <w:rPr>
          <w:rFonts w:asciiTheme="majorBidi" w:eastAsia="Yu Gothic Medium" w:hAnsiTheme="majorBidi" w:cstheme="majorBidi"/>
        </w:rPr>
        <w:t>, and set aside to identify in Step 6</w:t>
      </w:r>
      <w:r w:rsidRPr="1EF0EC97">
        <w:rPr>
          <w:rFonts w:asciiTheme="majorBidi" w:eastAsia="Yu Gothic Medium" w:hAnsiTheme="majorBidi" w:cstheme="majorBidi"/>
        </w:rPr>
        <w:t xml:space="preserve">. Identify if there are any bees present of a species other than </w:t>
      </w:r>
      <w:r w:rsidRPr="1EF0EC97">
        <w:rPr>
          <w:rFonts w:asciiTheme="majorBidi" w:eastAsia="Yu Gothic Medium" w:hAnsiTheme="majorBidi" w:cstheme="majorBidi"/>
          <w:i/>
          <w:iCs/>
        </w:rPr>
        <w:t>B. impatiens</w:t>
      </w:r>
      <w:r w:rsidRPr="1EF0EC97">
        <w:rPr>
          <w:rFonts w:asciiTheme="majorBidi" w:eastAsia="Yu Gothic Medium" w:hAnsiTheme="majorBidi" w:cstheme="majorBidi"/>
        </w:rPr>
        <w:t xml:space="preserve">, especially if there are queens of other species. </w:t>
      </w:r>
    </w:p>
    <w:p w14:paraId="243DD1AD" w14:textId="1E44D6BB" w:rsidR="00A650A7" w:rsidRPr="00E833E1" w:rsidRDefault="00A650A7" w:rsidP="1EF0EC97">
      <w:pPr>
        <w:pStyle w:val="Listenabsatz"/>
        <w:numPr>
          <w:ilvl w:val="0"/>
          <w:numId w:val="1"/>
        </w:numPr>
        <w:spacing w:line="259" w:lineRule="auto"/>
        <w:rPr>
          <w:rFonts w:asciiTheme="majorBidi" w:eastAsia="Yu Gothic Medium" w:hAnsiTheme="majorBidi" w:cstheme="majorBidi"/>
        </w:rPr>
      </w:pPr>
      <w:r w:rsidRPr="1EF0EC97">
        <w:rPr>
          <w:rFonts w:asciiTheme="majorBidi" w:eastAsia="Yu Gothic Medium" w:hAnsiTheme="majorBidi" w:cstheme="majorBidi"/>
        </w:rPr>
        <w:t>Open large</w:t>
      </w:r>
      <w:r w:rsidR="529AE9AC" w:rsidRPr="1EF0EC97">
        <w:rPr>
          <w:rFonts w:asciiTheme="majorBidi" w:eastAsia="Yu Gothic Medium" w:hAnsiTheme="majorBidi" w:cstheme="majorBidi"/>
        </w:rPr>
        <w:t>, papery</w:t>
      </w:r>
      <w:r w:rsidRPr="1EF0EC97">
        <w:rPr>
          <w:rFonts w:asciiTheme="majorBidi" w:eastAsia="Yu Gothic Medium" w:hAnsiTheme="majorBidi" w:cstheme="majorBidi"/>
        </w:rPr>
        <w:t xml:space="preserve"> domed cells with </w:t>
      </w:r>
      <w:r w:rsidR="002A76E7" w:rsidRPr="1EF0EC97">
        <w:rPr>
          <w:rFonts w:asciiTheme="majorBidi" w:eastAsia="Yu Gothic Medium" w:hAnsiTheme="majorBidi" w:cstheme="majorBidi"/>
        </w:rPr>
        <w:t xml:space="preserve">sharp </w:t>
      </w:r>
      <w:r w:rsidRPr="1EF0EC97">
        <w:rPr>
          <w:rFonts w:asciiTheme="majorBidi" w:eastAsia="Yu Gothic Medium" w:hAnsiTheme="majorBidi" w:cstheme="majorBidi"/>
        </w:rPr>
        <w:t xml:space="preserve">forceps and </w:t>
      </w:r>
      <w:r w:rsidR="6A415F89" w:rsidRPr="1EF0EC97">
        <w:rPr>
          <w:rFonts w:asciiTheme="majorBidi" w:eastAsia="Yu Gothic Medium" w:hAnsiTheme="majorBidi" w:cstheme="majorBidi"/>
        </w:rPr>
        <w:t>gently extract</w:t>
      </w:r>
      <w:r w:rsidRPr="1EF0EC97">
        <w:rPr>
          <w:rFonts w:asciiTheme="majorBidi" w:eastAsia="Yu Gothic Medium" w:hAnsiTheme="majorBidi" w:cstheme="majorBidi"/>
        </w:rPr>
        <w:t xml:space="preserve"> pupae.</w:t>
      </w:r>
      <w:r w:rsidR="00EA13CB" w:rsidRPr="1EF0EC97">
        <w:rPr>
          <w:rFonts w:asciiTheme="majorBidi" w:eastAsia="Yu Gothic Medium" w:hAnsiTheme="majorBidi" w:cstheme="majorBidi"/>
        </w:rPr>
        <w:t xml:space="preserve"> Be careful not to lance pupae with the forceps tips as you remove them.</w:t>
      </w:r>
      <w:r w:rsidRPr="1EF0EC97">
        <w:rPr>
          <w:rFonts w:asciiTheme="majorBidi" w:eastAsia="Yu Gothic Medium" w:hAnsiTheme="majorBidi" w:cstheme="majorBidi"/>
        </w:rPr>
        <w:t xml:space="preserve"> </w:t>
      </w:r>
      <w:r w:rsidR="002A76E7" w:rsidRPr="1EF0EC97">
        <w:rPr>
          <w:rFonts w:asciiTheme="majorBidi" w:eastAsia="Yu Gothic Medium" w:hAnsiTheme="majorBidi" w:cstheme="majorBidi"/>
        </w:rPr>
        <w:t xml:space="preserve">Sort </w:t>
      </w:r>
      <w:r w:rsidR="3DE46819" w:rsidRPr="1EF0EC97">
        <w:rPr>
          <w:rFonts w:asciiTheme="majorBidi" w:eastAsia="Yu Gothic Medium" w:hAnsiTheme="majorBidi" w:cstheme="majorBidi"/>
        </w:rPr>
        <w:t xml:space="preserve">pupae </w:t>
      </w:r>
      <w:r w:rsidR="002A76E7" w:rsidRPr="1EF0EC97">
        <w:rPr>
          <w:rFonts w:asciiTheme="majorBidi" w:eastAsia="Yu Gothic Medium" w:hAnsiTheme="majorBidi" w:cstheme="majorBidi"/>
        </w:rPr>
        <w:t xml:space="preserve">into petri dishes with ethanol </w:t>
      </w:r>
      <w:r w:rsidR="61529645" w:rsidRPr="1EF0EC97">
        <w:rPr>
          <w:rFonts w:asciiTheme="majorBidi" w:eastAsia="Yu Gothic Medium" w:hAnsiTheme="majorBidi" w:cstheme="majorBidi"/>
        </w:rPr>
        <w:t xml:space="preserve">so they do not dry out </w:t>
      </w:r>
      <w:r w:rsidR="002A76E7" w:rsidRPr="1EF0EC97">
        <w:rPr>
          <w:rFonts w:asciiTheme="majorBidi" w:eastAsia="Yu Gothic Medium" w:hAnsiTheme="majorBidi" w:cstheme="majorBidi"/>
        </w:rPr>
        <w:t>during the dissection</w:t>
      </w:r>
      <w:r w:rsidR="0398C77B" w:rsidRPr="1EF0EC97">
        <w:rPr>
          <w:rFonts w:asciiTheme="majorBidi" w:eastAsia="Yu Gothic Medium" w:hAnsiTheme="majorBidi" w:cstheme="majorBidi"/>
        </w:rPr>
        <w:t xml:space="preserve"> process</w:t>
      </w:r>
      <w:r w:rsidR="002A76E7" w:rsidRPr="1EF0EC97">
        <w:rPr>
          <w:rFonts w:asciiTheme="majorBidi" w:eastAsia="Yu Gothic Medium" w:hAnsiTheme="majorBidi" w:cstheme="majorBidi"/>
        </w:rPr>
        <w:t>.</w:t>
      </w:r>
      <w:r w:rsidR="004D6A10" w:rsidRPr="1EF0EC97">
        <w:rPr>
          <w:rFonts w:asciiTheme="majorBidi" w:eastAsia="Yu Gothic Medium" w:hAnsiTheme="majorBidi" w:cstheme="majorBidi"/>
        </w:rPr>
        <w:t xml:space="preserve"> </w:t>
      </w:r>
    </w:p>
    <w:p w14:paraId="72A192F1" w14:textId="2C8E805E" w:rsidR="00A650A7" w:rsidRDefault="00A650A7" w:rsidP="1EF0EC97">
      <w:pPr>
        <w:pStyle w:val="Listenabsatz"/>
        <w:numPr>
          <w:ilvl w:val="0"/>
          <w:numId w:val="1"/>
        </w:numPr>
        <w:spacing w:line="259" w:lineRule="auto"/>
        <w:rPr>
          <w:rFonts w:asciiTheme="majorBidi" w:eastAsia="Yu Gothic Medium" w:hAnsiTheme="majorBidi" w:cstheme="majorBidi"/>
        </w:rPr>
      </w:pPr>
      <w:r w:rsidRPr="1EF0EC97">
        <w:rPr>
          <w:rFonts w:asciiTheme="majorBidi" w:eastAsia="Yu Gothic Medium" w:hAnsiTheme="majorBidi" w:cstheme="majorBidi"/>
        </w:rPr>
        <w:t xml:space="preserve">Open smaller domed </w:t>
      </w:r>
      <w:r w:rsidR="002A76E7" w:rsidRPr="1EF0EC97">
        <w:rPr>
          <w:rFonts w:asciiTheme="majorBidi" w:eastAsia="Yu Gothic Medium" w:hAnsiTheme="majorBidi" w:cstheme="majorBidi"/>
        </w:rPr>
        <w:t>and flat</w:t>
      </w:r>
      <w:r w:rsidR="25BD92F0" w:rsidRPr="1EF0EC97">
        <w:rPr>
          <w:rFonts w:asciiTheme="majorBidi" w:eastAsia="Yu Gothic Medium" w:hAnsiTheme="majorBidi" w:cstheme="majorBidi"/>
        </w:rPr>
        <w:t>, waxy</w:t>
      </w:r>
      <w:r w:rsidR="002A76E7" w:rsidRPr="1EF0EC97">
        <w:rPr>
          <w:rFonts w:asciiTheme="majorBidi" w:eastAsia="Yu Gothic Medium" w:hAnsiTheme="majorBidi" w:cstheme="majorBidi"/>
        </w:rPr>
        <w:t xml:space="preserve"> </w:t>
      </w:r>
      <w:r w:rsidRPr="1EF0EC97">
        <w:rPr>
          <w:rFonts w:asciiTheme="majorBidi" w:eastAsia="Yu Gothic Medium" w:hAnsiTheme="majorBidi" w:cstheme="majorBidi"/>
        </w:rPr>
        <w:t xml:space="preserve">cells with </w:t>
      </w:r>
      <w:r w:rsidR="002A76E7" w:rsidRPr="1EF0EC97">
        <w:rPr>
          <w:rFonts w:asciiTheme="majorBidi" w:eastAsia="Yu Gothic Medium" w:hAnsiTheme="majorBidi" w:cstheme="majorBidi"/>
        </w:rPr>
        <w:t xml:space="preserve">sharp </w:t>
      </w:r>
      <w:r w:rsidRPr="1EF0EC97">
        <w:rPr>
          <w:rFonts w:asciiTheme="majorBidi" w:eastAsia="Yu Gothic Medium" w:hAnsiTheme="majorBidi" w:cstheme="majorBidi"/>
        </w:rPr>
        <w:t>forceps and remove eggs and larvae. Sort into petri dishes with ethanol</w:t>
      </w:r>
      <w:r w:rsidR="00A10F5C" w:rsidRPr="1EF0EC97">
        <w:rPr>
          <w:rFonts w:asciiTheme="majorBidi" w:eastAsia="Yu Gothic Medium" w:hAnsiTheme="majorBidi" w:cstheme="majorBidi"/>
        </w:rPr>
        <w:t xml:space="preserve"> during the dissection</w:t>
      </w:r>
      <w:r w:rsidR="4B690A02" w:rsidRPr="1EF0EC97">
        <w:rPr>
          <w:rFonts w:asciiTheme="majorBidi" w:eastAsia="Yu Gothic Medium" w:hAnsiTheme="majorBidi" w:cstheme="majorBidi"/>
        </w:rPr>
        <w:t xml:space="preserve"> process</w:t>
      </w:r>
      <w:r w:rsidRPr="1EF0EC97">
        <w:rPr>
          <w:rFonts w:asciiTheme="majorBidi" w:eastAsia="Yu Gothic Medium" w:hAnsiTheme="majorBidi" w:cstheme="majorBidi"/>
        </w:rPr>
        <w:t xml:space="preserve">. Eggs should be counted immediately as they are removed because they are delicate and easily damaged during the dissection process. All other components can be collected and then counted at the end of dissection. </w:t>
      </w:r>
    </w:p>
    <w:p w14:paraId="7A90CFEA" w14:textId="4EC723EF" w:rsidR="00A650A7" w:rsidRPr="00CA3AE0" w:rsidRDefault="002A76E7" w:rsidP="1EF0EC97">
      <w:pPr>
        <w:pStyle w:val="Listenabsatz"/>
        <w:numPr>
          <w:ilvl w:val="0"/>
          <w:numId w:val="1"/>
        </w:numPr>
        <w:spacing w:line="259" w:lineRule="auto"/>
        <w:rPr>
          <w:rFonts w:asciiTheme="majorBidi" w:eastAsia="Yu Gothic Medium" w:hAnsiTheme="majorBidi" w:cstheme="majorBidi"/>
        </w:rPr>
      </w:pPr>
      <w:r w:rsidRPr="1EF0EC97">
        <w:rPr>
          <w:rFonts w:asciiTheme="majorBidi" w:eastAsia="Yu Gothic Medium" w:hAnsiTheme="majorBidi" w:cstheme="majorBidi"/>
        </w:rPr>
        <w:t>Sort</w:t>
      </w:r>
      <w:r w:rsidR="00A650A7" w:rsidRPr="1EF0EC97">
        <w:rPr>
          <w:rFonts w:asciiTheme="majorBidi" w:eastAsia="Yu Gothic Medium" w:hAnsiTheme="majorBidi" w:cstheme="majorBidi"/>
        </w:rPr>
        <w:t xml:space="preserve"> adult bees: Queen will be </w:t>
      </w:r>
      <w:r w:rsidRPr="1EF0EC97">
        <w:rPr>
          <w:rFonts w:asciiTheme="majorBidi" w:eastAsia="Yu Gothic Medium" w:hAnsiTheme="majorBidi" w:cstheme="majorBidi"/>
        </w:rPr>
        <w:t xml:space="preserve">obviously </w:t>
      </w:r>
      <w:r w:rsidR="00A650A7" w:rsidRPr="1EF0EC97">
        <w:rPr>
          <w:rFonts w:asciiTheme="majorBidi" w:eastAsia="Yu Gothic Medium" w:hAnsiTheme="majorBidi" w:cstheme="majorBidi"/>
        </w:rPr>
        <w:t xml:space="preserve">the largest and there </w:t>
      </w:r>
      <w:r w:rsidR="00061D57" w:rsidRPr="1EF0EC97">
        <w:rPr>
          <w:rFonts w:asciiTheme="majorBidi" w:eastAsia="Yu Gothic Medium" w:hAnsiTheme="majorBidi" w:cstheme="majorBidi"/>
        </w:rPr>
        <w:t>will likely</w:t>
      </w:r>
      <w:r w:rsidR="00A650A7" w:rsidRPr="1EF0EC97">
        <w:rPr>
          <w:rFonts w:asciiTheme="majorBidi" w:eastAsia="Yu Gothic Medium" w:hAnsiTheme="majorBidi" w:cstheme="majorBidi"/>
        </w:rPr>
        <w:t xml:space="preserve"> only be one. Drones and workers look very similar,</w:t>
      </w:r>
      <w:r w:rsidRPr="1EF0EC97">
        <w:rPr>
          <w:rFonts w:asciiTheme="majorBidi" w:eastAsia="Yu Gothic Medium" w:hAnsiTheme="majorBidi" w:cstheme="majorBidi"/>
        </w:rPr>
        <w:t xml:space="preserve"> but</w:t>
      </w:r>
      <w:r w:rsidR="00A650A7" w:rsidRPr="1EF0EC97">
        <w:rPr>
          <w:rFonts w:asciiTheme="majorBidi" w:eastAsia="Yu Gothic Medium" w:hAnsiTheme="majorBidi" w:cstheme="majorBidi"/>
        </w:rPr>
        <w:t xml:space="preserve"> there will be far more workers than drones. Drones </w:t>
      </w:r>
      <w:r w:rsidRPr="1EF0EC97">
        <w:rPr>
          <w:rFonts w:asciiTheme="majorBidi" w:eastAsia="Yu Gothic Medium" w:hAnsiTheme="majorBidi" w:cstheme="majorBidi"/>
        </w:rPr>
        <w:t xml:space="preserve">may </w:t>
      </w:r>
      <w:r w:rsidR="00A650A7" w:rsidRPr="1EF0EC97">
        <w:rPr>
          <w:rFonts w:asciiTheme="majorBidi" w:eastAsia="Yu Gothic Medium" w:hAnsiTheme="majorBidi" w:cstheme="majorBidi"/>
        </w:rPr>
        <w:t xml:space="preserve">have a patch of yellow fur on their face and lack a stinger. </w:t>
      </w:r>
      <w:r w:rsidRPr="1EF0EC97">
        <w:rPr>
          <w:rFonts w:asciiTheme="majorBidi" w:eastAsia="Yu Gothic Medium" w:hAnsiTheme="majorBidi" w:cstheme="majorBidi"/>
        </w:rPr>
        <w:t xml:space="preserve">Drones will have 7 body segments to workers’ 6 body segments and 13 antennal segments to workers’ 12 antennal segments. </w:t>
      </w:r>
      <w:r w:rsidR="00A650A7" w:rsidRPr="1EF0EC97">
        <w:rPr>
          <w:rFonts w:asciiTheme="majorBidi" w:eastAsia="Yu Gothic Medium" w:hAnsiTheme="majorBidi" w:cstheme="majorBidi"/>
        </w:rPr>
        <w:t>Separate out possible drones from workers</w:t>
      </w:r>
      <w:r w:rsidRPr="1EF0EC97">
        <w:rPr>
          <w:rFonts w:asciiTheme="majorBidi" w:eastAsia="Yu Gothic Medium" w:hAnsiTheme="majorBidi" w:cstheme="majorBidi"/>
        </w:rPr>
        <w:t xml:space="preserve"> based on visible “mustache” and lack of stinger</w:t>
      </w:r>
      <w:r w:rsidR="00A650A7" w:rsidRPr="1EF0EC97">
        <w:rPr>
          <w:rFonts w:asciiTheme="majorBidi" w:eastAsia="Yu Gothic Medium" w:hAnsiTheme="majorBidi" w:cstheme="majorBidi"/>
        </w:rPr>
        <w:t>, then confirm ID under microscope</w:t>
      </w:r>
      <w:r w:rsidRPr="1EF0EC97">
        <w:rPr>
          <w:rFonts w:asciiTheme="majorBidi" w:eastAsia="Yu Gothic Medium" w:hAnsiTheme="majorBidi" w:cstheme="majorBidi"/>
        </w:rPr>
        <w:t xml:space="preserve"> with body segments and antennal segments</w:t>
      </w:r>
      <w:r w:rsidR="00A650A7" w:rsidRPr="1EF0EC97">
        <w:rPr>
          <w:rFonts w:asciiTheme="majorBidi" w:eastAsia="Yu Gothic Medium" w:hAnsiTheme="majorBidi" w:cstheme="majorBidi"/>
        </w:rPr>
        <w:t xml:space="preserve">. </w:t>
      </w:r>
      <w:r w:rsidR="231BAB1C" w:rsidRPr="1EF0EC97">
        <w:rPr>
          <w:rFonts w:asciiTheme="majorBidi" w:eastAsia="Yu Gothic Medium" w:hAnsiTheme="majorBidi" w:cstheme="majorBidi"/>
        </w:rPr>
        <w:t>If any workers are found to be in a greatly deteriorated condition (</w:t>
      </w:r>
      <w:proofErr w:type="spellStart"/>
      <w:r w:rsidR="231BAB1C" w:rsidRPr="1EF0EC97">
        <w:rPr>
          <w:rFonts w:asciiTheme="majorBidi" w:eastAsia="Yu Gothic Medium" w:hAnsiTheme="majorBidi" w:cstheme="majorBidi"/>
        </w:rPr>
        <w:t>propolized</w:t>
      </w:r>
      <w:proofErr w:type="spellEnd"/>
      <w:r w:rsidR="231BAB1C" w:rsidRPr="1EF0EC97">
        <w:rPr>
          <w:rFonts w:asciiTheme="majorBidi" w:eastAsia="Yu Gothic Medium" w:hAnsiTheme="majorBidi" w:cstheme="majorBidi"/>
        </w:rPr>
        <w:t xml:space="preserve">, body hair slicked or absent, abdomens hollow, bodies brittle and </w:t>
      </w:r>
      <w:r w:rsidR="197427B3" w:rsidRPr="1EF0EC97">
        <w:rPr>
          <w:rFonts w:asciiTheme="majorBidi" w:eastAsia="Yu Gothic Medium" w:hAnsiTheme="majorBidi" w:cstheme="majorBidi"/>
        </w:rPr>
        <w:t>broken into pieces</w:t>
      </w:r>
      <w:r w:rsidR="231BAB1C" w:rsidRPr="1EF0EC97">
        <w:rPr>
          <w:rFonts w:asciiTheme="majorBidi" w:eastAsia="Yu Gothic Medium" w:hAnsiTheme="majorBidi" w:cstheme="majorBidi"/>
        </w:rPr>
        <w:t xml:space="preserve"> or adhered to nest structure), these are too</w:t>
      </w:r>
      <w:r w:rsidR="7EC7026B" w:rsidRPr="1EF0EC97">
        <w:rPr>
          <w:rFonts w:asciiTheme="majorBidi" w:eastAsia="Yu Gothic Medium" w:hAnsiTheme="majorBidi" w:cstheme="majorBidi"/>
        </w:rPr>
        <w:t xml:space="preserve"> deteriorated to b</w:t>
      </w:r>
      <w:r w:rsidR="18F56813" w:rsidRPr="1EF0EC97">
        <w:rPr>
          <w:rFonts w:asciiTheme="majorBidi" w:eastAsia="Yu Gothic Medium" w:hAnsiTheme="majorBidi" w:cstheme="majorBidi"/>
        </w:rPr>
        <w:t xml:space="preserve">e </w:t>
      </w:r>
      <w:r w:rsidR="7EC7026B" w:rsidRPr="1EF0EC97">
        <w:rPr>
          <w:rFonts w:asciiTheme="majorBidi" w:eastAsia="Yu Gothic Medium" w:hAnsiTheme="majorBidi" w:cstheme="majorBidi"/>
        </w:rPr>
        <w:t>confidently identif</w:t>
      </w:r>
      <w:r w:rsidR="68D2E3DC" w:rsidRPr="1EF0EC97">
        <w:rPr>
          <w:rFonts w:asciiTheme="majorBidi" w:eastAsia="Yu Gothic Medium" w:hAnsiTheme="majorBidi" w:cstheme="majorBidi"/>
        </w:rPr>
        <w:t>ied</w:t>
      </w:r>
      <w:r w:rsidR="7EC7026B" w:rsidRPr="1EF0EC97">
        <w:rPr>
          <w:rFonts w:asciiTheme="majorBidi" w:eastAsia="Yu Gothic Medium" w:hAnsiTheme="majorBidi" w:cstheme="majorBidi"/>
        </w:rPr>
        <w:t xml:space="preserve"> and likely died well in advance of the colony euthanasia, and should be excluded.</w:t>
      </w:r>
    </w:p>
    <w:p w14:paraId="2085354D" w14:textId="13EEC63D" w:rsidR="00A650A7" w:rsidRPr="00E833E1" w:rsidRDefault="00A650A7" w:rsidP="002A76E7">
      <w:pPr>
        <w:pStyle w:val="Listenabsatz"/>
        <w:numPr>
          <w:ilvl w:val="0"/>
          <w:numId w:val="1"/>
        </w:numPr>
        <w:spacing w:line="259" w:lineRule="auto"/>
        <w:rPr>
          <w:rFonts w:asciiTheme="majorBidi" w:eastAsia="Yu Gothic Medium" w:hAnsiTheme="majorBidi" w:cstheme="majorBidi"/>
        </w:rPr>
      </w:pPr>
      <w:r w:rsidRPr="00E833E1">
        <w:rPr>
          <w:rFonts w:asciiTheme="majorBidi" w:eastAsia="Yu Gothic Medium" w:hAnsiTheme="majorBidi" w:cstheme="majorBidi"/>
        </w:rPr>
        <w:t xml:space="preserve">Count </w:t>
      </w:r>
      <w:r w:rsidR="004D6A10">
        <w:rPr>
          <w:rFonts w:asciiTheme="majorBidi" w:eastAsia="Yu Gothic Medium" w:hAnsiTheme="majorBidi" w:cstheme="majorBidi"/>
        </w:rPr>
        <w:t>nectar</w:t>
      </w:r>
      <w:r w:rsidRPr="00E833E1">
        <w:rPr>
          <w:rFonts w:asciiTheme="majorBidi" w:eastAsia="Yu Gothic Medium" w:hAnsiTheme="majorBidi" w:cstheme="majorBidi"/>
        </w:rPr>
        <w:t xml:space="preserve"> and pollen </w:t>
      </w:r>
      <w:r w:rsidR="004D6A10">
        <w:rPr>
          <w:rFonts w:asciiTheme="majorBidi" w:eastAsia="Yu Gothic Medium" w:hAnsiTheme="majorBidi" w:cstheme="majorBidi"/>
        </w:rPr>
        <w:t>cells</w:t>
      </w:r>
      <w:r w:rsidRPr="00E833E1">
        <w:rPr>
          <w:rFonts w:asciiTheme="majorBidi" w:eastAsia="Yu Gothic Medium" w:hAnsiTheme="majorBidi" w:cstheme="majorBidi"/>
        </w:rPr>
        <w:t xml:space="preserve">. </w:t>
      </w:r>
      <w:r w:rsidR="004D6A10">
        <w:rPr>
          <w:rFonts w:asciiTheme="majorBidi" w:eastAsia="Yu Gothic Medium" w:hAnsiTheme="majorBidi" w:cstheme="majorBidi"/>
        </w:rPr>
        <w:t>Nectar</w:t>
      </w:r>
      <w:r w:rsidRPr="00E833E1">
        <w:rPr>
          <w:rFonts w:asciiTheme="majorBidi" w:eastAsia="Yu Gothic Medium" w:hAnsiTheme="majorBidi" w:cstheme="majorBidi"/>
        </w:rPr>
        <w:t xml:space="preserve"> and pollen </w:t>
      </w:r>
      <w:r w:rsidR="004D6A10">
        <w:rPr>
          <w:rFonts w:asciiTheme="majorBidi" w:eastAsia="Yu Gothic Medium" w:hAnsiTheme="majorBidi" w:cstheme="majorBidi"/>
        </w:rPr>
        <w:t>cells</w:t>
      </w:r>
      <w:r w:rsidRPr="00E833E1">
        <w:rPr>
          <w:rFonts w:asciiTheme="majorBidi" w:eastAsia="Yu Gothic Medium" w:hAnsiTheme="majorBidi" w:cstheme="majorBidi"/>
        </w:rPr>
        <w:t xml:space="preserve"> are usually the bottom layer of the </w:t>
      </w:r>
      <w:r w:rsidR="002A76E7">
        <w:rPr>
          <w:rFonts w:asciiTheme="majorBidi" w:eastAsia="Yu Gothic Medium" w:hAnsiTheme="majorBidi" w:cstheme="majorBidi"/>
        </w:rPr>
        <w:t xml:space="preserve">nest (under brood cells) </w:t>
      </w:r>
      <w:r w:rsidRPr="00E833E1">
        <w:rPr>
          <w:rFonts w:asciiTheme="majorBidi" w:eastAsia="Yu Gothic Medium" w:hAnsiTheme="majorBidi" w:cstheme="majorBidi"/>
        </w:rPr>
        <w:t>and shiny thick honey</w:t>
      </w:r>
      <w:r w:rsidR="004D6A10">
        <w:rPr>
          <w:rFonts w:asciiTheme="majorBidi" w:eastAsia="Yu Gothic Medium" w:hAnsiTheme="majorBidi" w:cstheme="majorBidi"/>
        </w:rPr>
        <w:t>-like</w:t>
      </w:r>
      <w:r w:rsidRPr="00E833E1">
        <w:rPr>
          <w:rFonts w:asciiTheme="majorBidi" w:eastAsia="Yu Gothic Medium" w:hAnsiTheme="majorBidi" w:cstheme="majorBidi"/>
        </w:rPr>
        <w:t xml:space="preserve"> liquid or cheesy-textured yellow or orange pollen will be visible in the cells. </w:t>
      </w:r>
      <w:r w:rsidR="002A76E7">
        <w:rPr>
          <w:rFonts w:asciiTheme="majorBidi" w:eastAsia="Yu Gothic Medium" w:hAnsiTheme="majorBidi" w:cstheme="majorBidi"/>
        </w:rPr>
        <w:t>Break off</w:t>
      </w:r>
      <w:r w:rsidR="004D6A10">
        <w:rPr>
          <w:rFonts w:asciiTheme="majorBidi" w:eastAsia="Yu Gothic Medium" w:hAnsiTheme="majorBidi" w:cstheme="majorBidi"/>
        </w:rPr>
        <w:t xml:space="preserve"> large chunks of the structure </w:t>
      </w:r>
      <w:r w:rsidR="00014310">
        <w:rPr>
          <w:rFonts w:asciiTheme="majorBidi" w:eastAsia="Yu Gothic Medium" w:hAnsiTheme="majorBidi" w:cstheme="majorBidi"/>
        </w:rPr>
        <w:t xml:space="preserve">by hand </w:t>
      </w:r>
      <w:r w:rsidR="004D6A10">
        <w:rPr>
          <w:rFonts w:asciiTheme="majorBidi" w:eastAsia="Yu Gothic Medium" w:hAnsiTheme="majorBidi" w:cstheme="majorBidi"/>
        </w:rPr>
        <w:lastRenderedPageBreak/>
        <w:t>as they naturally separate off, then break off the individual cells one by one</w:t>
      </w:r>
      <w:r w:rsidR="000D135B">
        <w:rPr>
          <w:rFonts w:asciiTheme="majorBidi" w:eastAsia="Yu Gothic Medium" w:hAnsiTheme="majorBidi" w:cstheme="majorBidi"/>
        </w:rPr>
        <w:t xml:space="preserve"> with fingers or lab spatula/spoon</w:t>
      </w:r>
      <w:r w:rsidR="004D6A10">
        <w:rPr>
          <w:rFonts w:asciiTheme="majorBidi" w:eastAsia="Yu Gothic Medium" w:hAnsiTheme="majorBidi" w:cstheme="majorBidi"/>
        </w:rPr>
        <w:t xml:space="preserve">, counting </w:t>
      </w:r>
      <w:r w:rsidR="000D135B">
        <w:rPr>
          <w:rFonts w:asciiTheme="majorBidi" w:eastAsia="Yu Gothic Medium" w:hAnsiTheme="majorBidi" w:cstheme="majorBidi"/>
        </w:rPr>
        <w:t xml:space="preserve">each cell </w:t>
      </w:r>
      <w:r w:rsidR="004D6A10">
        <w:rPr>
          <w:rFonts w:asciiTheme="majorBidi" w:eastAsia="Yu Gothic Medium" w:hAnsiTheme="majorBidi" w:cstheme="majorBidi"/>
        </w:rPr>
        <w:t xml:space="preserve">as you go. </w:t>
      </w:r>
    </w:p>
    <w:p w14:paraId="19C2BBBB" w14:textId="77777777" w:rsidR="008C766E" w:rsidRPr="008C766E" w:rsidRDefault="00A650A7" w:rsidP="00F0135D">
      <w:pPr>
        <w:pStyle w:val="Listenabsatz"/>
        <w:numPr>
          <w:ilvl w:val="0"/>
          <w:numId w:val="1"/>
        </w:numPr>
        <w:spacing w:line="259" w:lineRule="auto"/>
        <w:rPr>
          <w:rFonts w:asciiTheme="majorBidi" w:hAnsiTheme="majorBidi" w:cstheme="majorBidi"/>
        </w:rPr>
      </w:pPr>
      <w:r w:rsidRPr="008C766E">
        <w:rPr>
          <w:rFonts w:asciiTheme="majorBidi" w:eastAsia="Yu Gothic Medium" w:hAnsiTheme="majorBidi" w:cstheme="majorBidi"/>
        </w:rPr>
        <w:t xml:space="preserve">Count all </w:t>
      </w:r>
      <w:r w:rsidR="002A76E7" w:rsidRPr="008C766E">
        <w:rPr>
          <w:rFonts w:asciiTheme="majorBidi" w:eastAsia="Yu Gothic Medium" w:hAnsiTheme="majorBidi" w:cstheme="majorBidi"/>
        </w:rPr>
        <w:t xml:space="preserve">brood </w:t>
      </w:r>
      <w:r w:rsidRPr="008C766E">
        <w:rPr>
          <w:rFonts w:asciiTheme="majorBidi" w:eastAsia="Yu Gothic Medium" w:hAnsiTheme="majorBidi" w:cstheme="majorBidi"/>
        </w:rPr>
        <w:t>components and weigh the queen, drones, and workers</w:t>
      </w:r>
      <w:r w:rsidR="004D6A10" w:rsidRPr="008C766E">
        <w:rPr>
          <w:rFonts w:asciiTheme="majorBidi" w:eastAsia="Yu Gothic Medium" w:hAnsiTheme="majorBidi" w:cstheme="majorBidi"/>
        </w:rPr>
        <w:t xml:space="preserve"> on a balance. Record mass </w:t>
      </w:r>
      <w:r w:rsidR="4B82EED8" w:rsidRPr="008C766E">
        <w:rPr>
          <w:rFonts w:asciiTheme="majorBidi" w:eastAsia="Yu Gothic Medium" w:hAnsiTheme="majorBidi" w:cstheme="majorBidi"/>
        </w:rPr>
        <w:t xml:space="preserve">of each </w:t>
      </w:r>
      <w:r w:rsidR="004D6A10" w:rsidRPr="008C766E">
        <w:rPr>
          <w:rFonts w:asciiTheme="majorBidi" w:eastAsia="Yu Gothic Medium" w:hAnsiTheme="majorBidi" w:cstheme="majorBidi"/>
        </w:rPr>
        <w:t>to the nearest 1/1000</w:t>
      </w:r>
      <w:r w:rsidR="004D6A10" w:rsidRPr="008C766E">
        <w:rPr>
          <w:rFonts w:asciiTheme="majorBidi" w:eastAsia="Yu Gothic Medium" w:hAnsiTheme="majorBidi" w:cstheme="majorBidi"/>
          <w:vertAlign w:val="superscript"/>
        </w:rPr>
        <w:t>th</w:t>
      </w:r>
      <w:r w:rsidR="004D6A10" w:rsidRPr="008C766E">
        <w:rPr>
          <w:rFonts w:asciiTheme="majorBidi" w:eastAsia="Yu Gothic Medium" w:hAnsiTheme="majorBidi" w:cstheme="majorBidi"/>
        </w:rPr>
        <w:t xml:space="preserve"> of a gram. </w:t>
      </w:r>
    </w:p>
    <w:p w14:paraId="088807DA" w14:textId="77777777" w:rsidR="008C766E" w:rsidRPr="008C766E" w:rsidRDefault="008C766E" w:rsidP="008C766E">
      <w:pPr>
        <w:spacing w:line="259" w:lineRule="auto"/>
        <w:ind w:left="360"/>
        <w:rPr>
          <w:rFonts w:asciiTheme="majorBidi" w:hAnsiTheme="majorBidi" w:cstheme="majorBidi"/>
        </w:rPr>
      </w:pPr>
    </w:p>
    <w:p w14:paraId="36FE04F1" w14:textId="5EA8B080" w:rsidR="00F0135D" w:rsidRPr="008C766E" w:rsidRDefault="00DE6A5F" w:rsidP="008C766E">
      <w:pPr>
        <w:spacing w:line="259" w:lineRule="auto"/>
        <w:rPr>
          <w:rFonts w:asciiTheme="majorBidi" w:hAnsiTheme="majorBidi" w:cstheme="majorBidi"/>
        </w:rPr>
      </w:pPr>
      <w:r w:rsidRPr="008C766E">
        <w:rPr>
          <w:rFonts w:asciiTheme="majorBidi" w:hAnsiTheme="majorBidi" w:cstheme="majorBidi"/>
          <w:b/>
          <w:bCs/>
        </w:rPr>
        <w:t>Ap</w:t>
      </w:r>
      <w:r w:rsidR="00F84B47" w:rsidRPr="008C766E">
        <w:rPr>
          <w:rFonts w:asciiTheme="majorBidi" w:hAnsiTheme="majorBidi" w:cstheme="majorBidi"/>
          <w:b/>
          <w:bCs/>
        </w:rPr>
        <w:t>pendix II</w:t>
      </w:r>
      <w:r w:rsidR="00285504" w:rsidRPr="008C766E">
        <w:rPr>
          <w:rFonts w:asciiTheme="majorBidi" w:hAnsiTheme="majorBidi" w:cstheme="majorBidi"/>
          <w:b/>
          <w:bCs/>
        </w:rPr>
        <w:t>.</w:t>
      </w:r>
      <w:r w:rsidR="00F0135D" w:rsidRPr="008C766E">
        <w:rPr>
          <w:rFonts w:asciiTheme="majorBidi" w:hAnsiTheme="majorBidi" w:cstheme="majorBidi"/>
        </w:rPr>
        <w:t xml:space="preserve"> Untransformed treatment means for each variable and colony health indices</w:t>
      </w:r>
      <w:r w:rsidR="00155120" w:rsidRPr="008C766E">
        <w:rPr>
          <w:rFonts w:asciiTheme="majorBidi" w:hAnsiTheme="majorBidi" w:cstheme="majorBidi"/>
        </w:rPr>
        <w:t xml:space="preserve"> in each year of the experiment</w:t>
      </w:r>
      <w:r w:rsidR="002B0CCF" w:rsidRPr="008C766E">
        <w:rPr>
          <w:rFonts w:asciiTheme="majorBidi" w:hAnsiTheme="majorBidi" w:cstheme="majorBidi"/>
        </w:rPr>
        <w:t>. In 2022 the “</w:t>
      </w:r>
      <w:r w:rsidR="00F97632" w:rsidRPr="008C766E">
        <w:rPr>
          <w:rFonts w:asciiTheme="majorBidi" w:hAnsiTheme="majorBidi" w:cstheme="majorBidi"/>
        </w:rPr>
        <w:t>n</w:t>
      </w:r>
      <w:r w:rsidR="002B0CCF" w:rsidRPr="008C766E">
        <w:rPr>
          <w:rFonts w:asciiTheme="majorBidi" w:hAnsiTheme="majorBidi" w:cstheme="majorBidi"/>
        </w:rPr>
        <w:t>o</w:t>
      </w:r>
      <w:r w:rsidR="00F97632" w:rsidRPr="008C766E">
        <w:rPr>
          <w:rFonts w:asciiTheme="majorBidi" w:hAnsiTheme="majorBidi" w:cstheme="majorBidi"/>
        </w:rPr>
        <w:t xml:space="preserve"> foraging” treatment colonies were terminated upon arrival; in 2023, the “no foraging” treatment colonies</w:t>
      </w:r>
      <w:r w:rsidR="00155120" w:rsidRPr="008C766E">
        <w:rPr>
          <w:rFonts w:asciiTheme="majorBidi" w:hAnsiTheme="majorBidi" w:cstheme="majorBidi"/>
        </w:rPr>
        <w:t xml:space="preserve"> </w:t>
      </w:r>
      <w:r w:rsidR="00F97632" w:rsidRPr="008C766E">
        <w:rPr>
          <w:rFonts w:asciiTheme="majorBidi" w:hAnsiTheme="majorBidi" w:cstheme="majorBidi"/>
        </w:rPr>
        <w:t>were starved for the experiment duration.</w:t>
      </w:r>
    </w:p>
    <w:tbl>
      <w:tblPr>
        <w:tblW w:w="9680" w:type="dxa"/>
        <w:tblLook w:val="04A0" w:firstRow="1" w:lastRow="0" w:firstColumn="1" w:lastColumn="0" w:noHBand="0" w:noVBand="1"/>
      </w:tblPr>
      <w:tblGrid>
        <w:gridCol w:w="2541"/>
        <w:gridCol w:w="1239"/>
        <w:gridCol w:w="1212"/>
        <w:gridCol w:w="1058"/>
        <w:gridCol w:w="1330"/>
        <w:gridCol w:w="1242"/>
        <w:gridCol w:w="1058"/>
      </w:tblGrid>
      <w:tr w:rsidR="00F97632" w:rsidRPr="00B26042" w14:paraId="44C1DCE5" w14:textId="77777777" w:rsidTr="00FC6108">
        <w:trPr>
          <w:trHeight w:val="331"/>
        </w:trPr>
        <w:tc>
          <w:tcPr>
            <w:tcW w:w="2541" w:type="dxa"/>
            <w:tcBorders>
              <w:top w:val="nil"/>
              <w:left w:val="nil"/>
              <w:bottom w:val="nil"/>
              <w:right w:val="nil"/>
            </w:tcBorders>
            <w:noWrap/>
            <w:vAlign w:val="bottom"/>
            <w:hideMark/>
          </w:tcPr>
          <w:p w14:paraId="4A10501E" w14:textId="77777777" w:rsidR="00F97632" w:rsidRPr="00B26042" w:rsidRDefault="00F97632" w:rsidP="00C97925">
            <w:pPr>
              <w:spacing w:after="0" w:line="240" w:lineRule="auto"/>
              <w:rPr>
                <w:rFonts w:asciiTheme="majorBidi" w:eastAsia="Times New Roman" w:hAnsiTheme="majorBidi" w:cstheme="majorBidi"/>
                <w:kern w:val="0"/>
                <w:sz w:val="20"/>
                <w:szCs w:val="20"/>
                <w14:ligatures w14:val="none"/>
              </w:rPr>
            </w:pPr>
          </w:p>
        </w:tc>
        <w:tc>
          <w:tcPr>
            <w:tcW w:w="3509" w:type="dxa"/>
            <w:gridSpan w:val="3"/>
            <w:tcBorders>
              <w:top w:val="single" w:sz="12" w:space="0" w:color="auto"/>
              <w:left w:val="single" w:sz="12" w:space="0" w:color="auto"/>
              <w:bottom w:val="single" w:sz="12" w:space="0" w:color="auto"/>
              <w:right w:val="single" w:sz="12" w:space="0" w:color="000000"/>
            </w:tcBorders>
            <w:noWrap/>
            <w:vAlign w:val="bottom"/>
            <w:hideMark/>
          </w:tcPr>
          <w:p w14:paraId="6EDE5C12" w14:textId="77777777" w:rsidR="00F97632" w:rsidRPr="00B26042" w:rsidRDefault="00F97632" w:rsidP="00C97925">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2022</w:t>
            </w:r>
          </w:p>
        </w:tc>
        <w:tc>
          <w:tcPr>
            <w:tcW w:w="3630" w:type="dxa"/>
            <w:gridSpan w:val="3"/>
            <w:tcBorders>
              <w:top w:val="single" w:sz="12" w:space="0" w:color="auto"/>
              <w:left w:val="nil"/>
              <w:bottom w:val="single" w:sz="12" w:space="0" w:color="auto"/>
              <w:right w:val="single" w:sz="12" w:space="0" w:color="000000"/>
            </w:tcBorders>
            <w:noWrap/>
            <w:vAlign w:val="bottom"/>
            <w:hideMark/>
          </w:tcPr>
          <w:p w14:paraId="637F2230" w14:textId="3880A610" w:rsidR="00F97632" w:rsidRPr="00B26042" w:rsidRDefault="00F97632" w:rsidP="00C97925">
            <w:pPr>
              <w:spacing w:after="0" w:line="240" w:lineRule="auto"/>
              <w:jc w:val="center"/>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2</w:t>
            </w:r>
            <w:r w:rsidRPr="00B26042">
              <w:rPr>
                <w:rFonts w:asciiTheme="majorBidi" w:eastAsia="Times New Roman" w:hAnsiTheme="majorBidi" w:cstheme="majorBidi"/>
                <w:color w:val="000000"/>
                <w:kern w:val="0"/>
                <w:sz w:val="20"/>
                <w:szCs w:val="20"/>
                <w14:ligatures w14:val="none"/>
              </w:rPr>
              <w:t>023</w:t>
            </w:r>
          </w:p>
        </w:tc>
      </w:tr>
      <w:tr w:rsidR="00F97632" w:rsidRPr="00B26042" w14:paraId="722BCDC4" w14:textId="77777777" w:rsidTr="00FC6108">
        <w:trPr>
          <w:trHeight w:val="652"/>
        </w:trPr>
        <w:tc>
          <w:tcPr>
            <w:tcW w:w="2541" w:type="dxa"/>
            <w:tcBorders>
              <w:top w:val="nil"/>
              <w:left w:val="nil"/>
              <w:bottom w:val="single" w:sz="12" w:space="0" w:color="auto"/>
              <w:right w:val="nil"/>
            </w:tcBorders>
            <w:noWrap/>
            <w:vAlign w:val="bottom"/>
            <w:hideMark/>
          </w:tcPr>
          <w:p w14:paraId="5C441887" w14:textId="77777777" w:rsidR="00F97632" w:rsidRPr="00B26042" w:rsidRDefault="00F97632" w:rsidP="00C97925">
            <w:pPr>
              <w:spacing w:after="0" w:line="240" w:lineRule="auto"/>
              <w:jc w:val="center"/>
              <w:rPr>
                <w:rFonts w:asciiTheme="majorBidi" w:eastAsia="Times New Roman" w:hAnsiTheme="majorBidi" w:cstheme="majorBidi"/>
                <w:color w:val="000000"/>
                <w:kern w:val="0"/>
                <w:sz w:val="20"/>
                <w:szCs w:val="20"/>
                <w14:ligatures w14:val="none"/>
              </w:rPr>
            </w:pPr>
          </w:p>
        </w:tc>
        <w:tc>
          <w:tcPr>
            <w:tcW w:w="1239" w:type="dxa"/>
            <w:tcBorders>
              <w:top w:val="nil"/>
              <w:left w:val="single" w:sz="12" w:space="0" w:color="auto"/>
              <w:right w:val="nil"/>
            </w:tcBorders>
            <w:noWrap/>
            <w:vAlign w:val="center"/>
            <w:hideMark/>
          </w:tcPr>
          <w:p w14:paraId="3B6DDCFE" w14:textId="40905ADF" w:rsidR="00F97632" w:rsidRPr="00B26042" w:rsidRDefault="00F97632" w:rsidP="00C97925">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No Foraging</w:t>
            </w:r>
            <w:r w:rsidR="00FC6108">
              <w:rPr>
                <w:rFonts w:asciiTheme="majorBidi" w:eastAsia="Times New Roman" w:hAnsiTheme="majorBidi" w:cstheme="majorBidi"/>
                <w:color w:val="000000"/>
                <w:kern w:val="0"/>
                <w:sz w:val="20"/>
                <w:szCs w:val="20"/>
                <w14:ligatures w14:val="none"/>
              </w:rPr>
              <w:t xml:space="preserve"> (DOA)</w:t>
            </w:r>
          </w:p>
        </w:tc>
        <w:tc>
          <w:tcPr>
            <w:tcW w:w="1212" w:type="dxa"/>
            <w:tcBorders>
              <w:top w:val="nil"/>
              <w:left w:val="nil"/>
              <w:right w:val="nil"/>
            </w:tcBorders>
            <w:vAlign w:val="center"/>
            <w:hideMark/>
          </w:tcPr>
          <w:p w14:paraId="00C3CFF9" w14:textId="41D00220" w:rsidR="00F97632" w:rsidRPr="00B26042" w:rsidRDefault="00ED0C8B" w:rsidP="00C97925">
            <w:pPr>
              <w:spacing w:after="0" w:line="240" w:lineRule="auto"/>
              <w:jc w:val="center"/>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Cucurbit</w:t>
            </w:r>
            <w:r w:rsidR="00F97632" w:rsidRPr="00B26042">
              <w:rPr>
                <w:rFonts w:asciiTheme="majorBidi" w:eastAsia="Times New Roman" w:hAnsiTheme="majorBidi" w:cstheme="majorBidi"/>
                <w:color w:val="000000"/>
                <w:kern w:val="0"/>
                <w:sz w:val="20"/>
                <w:szCs w:val="20"/>
                <w14:ligatures w14:val="none"/>
              </w:rPr>
              <w:t xml:space="preserve"> </w:t>
            </w:r>
            <w:proofErr w:type="spellStart"/>
            <w:r w:rsidR="00F97632" w:rsidRPr="00B26042">
              <w:rPr>
                <w:rFonts w:asciiTheme="majorBidi" w:eastAsia="Times New Roman" w:hAnsiTheme="majorBidi" w:cstheme="majorBidi"/>
                <w:color w:val="000000"/>
                <w:kern w:val="0"/>
                <w:sz w:val="20"/>
                <w:szCs w:val="20"/>
                <w14:ligatures w14:val="none"/>
              </w:rPr>
              <w:t>Mesotunnel</w:t>
            </w:r>
            <w:proofErr w:type="spellEnd"/>
          </w:p>
        </w:tc>
        <w:tc>
          <w:tcPr>
            <w:tcW w:w="1058" w:type="dxa"/>
            <w:tcBorders>
              <w:top w:val="nil"/>
              <w:left w:val="nil"/>
              <w:right w:val="nil"/>
            </w:tcBorders>
            <w:noWrap/>
            <w:vAlign w:val="center"/>
            <w:hideMark/>
          </w:tcPr>
          <w:p w14:paraId="730E32CF" w14:textId="77777777" w:rsidR="00F97632" w:rsidRPr="00B26042" w:rsidRDefault="00F97632" w:rsidP="00C97925">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Free Foraging</w:t>
            </w:r>
          </w:p>
        </w:tc>
        <w:tc>
          <w:tcPr>
            <w:tcW w:w="1330" w:type="dxa"/>
            <w:tcBorders>
              <w:top w:val="nil"/>
              <w:left w:val="single" w:sz="12" w:space="0" w:color="auto"/>
              <w:right w:val="nil"/>
            </w:tcBorders>
            <w:noWrap/>
            <w:vAlign w:val="center"/>
            <w:hideMark/>
          </w:tcPr>
          <w:p w14:paraId="02C0279D" w14:textId="2B6889A0" w:rsidR="00F97632" w:rsidRPr="00B26042" w:rsidRDefault="00F97632" w:rsidP="00C97925">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No Foraging</w:t>
            </w:r>
            <w:r w:rsidR="00FC6108">
              <w:rPr>
                <w:rFonts w:asciiTheme="majorBidi" w:eastAsia="Times New Roman" w:hAnsiTheme="majorBidi" w:cstheme="majorBidi"/>
                <w:color w:val="000000"/>
                <w:kern w:val="0"/>
                <w:sz w:val="20"/>
                <w:szCs w:val="20"/>
                <w14:ligatures w14:val="none"/>
              </w:rPr>
              <w:t xml:space="preserve"> (Starvation)</w:t>
            </w:r>
          </w:p>
        </w:tc>
        <w:tc>
          <w:tcPr>
            <w:tcW w:w="1242" w:type="dxa"/>
            <w:tcBorders>
              <w:top w:val="nil"/>
              <w:left w:val="nil"/>
              <w:right w:val="nil"/>
            </w:tcBorders>
            <w:vAlign w:val="center"/>
            <w:hideMark/>
          </w:tcPr>
          <w:p w14:paraId="20BC6D28" w14:textId="436E35A0" w:rsidR="00F97632" w:rsidRPr="00B26042" w:rsidRDefault="00ED0C8B" w:rsidP="00C97925">
            <w:pPr>
              <w:spacing w:after="0" w:line="240" w:lineRule="auto"/>
              <w:jc w:val="center"/>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Cucurbit</w:t>
            </w:r>
            <w:r w:rsidR="00F97632" w:rsidRPr="00B26042">
              <w:rPr>
                <w:rFonts w:asciiTheme="majorBidi" w:eastAsia="Times New Roman" w:hAnsiTheme="majorBidi" w:cstheme="majorBidi"/>
                <w:color w:val="000000"/>
                <w:kern w:val="0"/>
                <w:sz w:val="20"/>
                <w:szCs w:val="20"/>
                <w14:ligatures w14:val="none"/>
              </w:rPr>
              <w:t xml:space="preserve"> </w:t>
            </w:r>
            <w:proofErr w:type="spellStart"/>
            <w:r w:rsidR="00F97632" w:rsidRPr="00B26042">
              <w:rPr>
                <w:rFonts w:asciiTheme="majorBidi" w:eastAsia="Times New Roman" w:hAnsiTheme="majorBidi" w:cstheme="majorBidi"/>
                <w:color w:val="000000"/>
                <w:kern w:val="0"/>
                <w:sz w:val="20"/>
                <w:szCs w:val="20"/>
                <w14:ligatures w14:val="none"/>
              </w:rPr>
              <w:t>Mesotunnel</w:t>
            </w:r>
            <w:proofErr w:type="spellEnd"/>
          </w:p>
        </w:tc>
        <w:tc>
          <w:tcPr>
            <w:tcW w:w="1058" w:type="dxa"/>
            <w:tcBorders>
              <w:top w:val="nil"/>
              <w:left w:val="nil"/>
              <w:right w:val="single" w:sz="12" w:space="0" w:color="auto"/>
            </w:tcBorders>
            <w:noWrap/>
            <w:vAlign w:val="center"/>
            <w:hideMark/>
          </w:tcPr>
          <w:p w14:paraId="77B45712" w14:textId="77777777" w:rsidR="00F97632" w:rsidRPr="00B26042" w:rsidRDefault="00F97632" w:rsidP="00C97925">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Free Foraging</w:t>
            </w:r>
          </w:p>
        </w:tc>
      </w:tr>
      <w:tr w:rsidR="00F97632" w:rsidRPr="00B26042" w14:paraId="315ABF53" w14:textId="77777777" w:rsidTr="00FC6108">
        <w:trPr>
          <w:trHeight w:val="315"/>
        </w:trPr>
        <w:tc>
          <w:tcPr>
            <w:tcW w:w="9680" w:type="dxa"/>
            <w:gridSpan w:val="7"/>
            <w:tcBorders>
              <w:left w:val="single" w:sz="12" w:space="0" w:color="auto"/>
              <w:bottom w:val="nil"/>
              <w:right w:val="single" w:sz="12" w:space="0" w:color="000000"/>
            </w:tcBorders>
            <w:shd w:val="clear" w:color="000000" w:fill="D9D9D9"/>
            <w:noWrap/>
            <w:vAlign w:val="bottom"/>
            <w:hideMark/>
          </w:tcPr>
          <w:p w14:paraId="6E35D377" w14:textId="3FFEAA6D" w:rsidR="00F97632" w:rsidRPr="00B26042" w:rsidRDefault="00F97632" w:rsidP="00C97925">
            <w:pPr>
              <w:spacing w:after="0" w:line="240" w:lineRule="auto"/>
              <w:rPr>
                <w:rFonts w:asciiTheme="majorBidi" w:eastAsia="Times New Roman" w:hAnsiTheme="majorBidi" w:cstheme="majorBidi"/>
                <w:b/>
                <w:bCs/>
                <w:color w:val="000000"/>
                <w:kern w:val="0"/>
                <w:sz w:val="20"/>
                <w:szCs w:val="20"/>
                <w14:ligatures w14:val="none"/>
              </w:rPr>
            </w:pPr>
            <w:r w:rsidRPr="00B26042">
              <w:rPr>
                <w:rFonts w:asciiTheme="majorBidi" w:eastAsia="Times New Roman" w:hAnsiTheme="majorBidi" w:cstheme="majorBidi"/>
                <w:b/>
                <w:bCs/>
                <w:color w:val="000000"/>
                <w:kern w:val="0"/>
                <w:sz w:val="20"/>
                <w:szCs w:val="20"/>
                <w14:ligatures w14:val="none"/>
              </w:rPr>
              <w:t>Somatic health factors</w:t>
            </w:r>
          </w:p>
        </w:tc>
      </w:tr>
      <w:tr w:rsidR="00F97632" w:rsidRPr="00B26042" w14:paraId="47AFE9F5"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016AA86D" w14:textId="1173DACA"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Nest structure mass</w:t>
            </w:r>
            <w:r>
              <w:rPr>
                <w:rFonts w:asciiTheme="majorBidi" w:eastAsia="Times New Roman" w:hAnsiTheme="majorBidi" w:cstheme="majorBidi"/>
                <w:color w:val="000000"/>
                <w:kern w:val="0"/>
                <w:sz w:val="20"/>
                <w:szCs w:val="20"/>
                <w14:ligatures w14:val="none"/>
              </w:rPr>
              <w:t xml:space="preserve"> (kg)</w:t>
            </w:r>
          </w:p>
        </w:tc>
        <w:tc>
          <w:tcPr>
            <w:tcW w:w="1239" w:type="dxa"/>
            <w:tcBorders>
              <w:top w:val="nil"/>
              <w:left w:val="nil"/>
              <w:bottom w:val="nil"/>
              <w:right w:val="nil"/>
            </w:tcBorders>
            <w:noWrap/>
            <w:vAlign w:val="center"/>
            <w:hideMark/>
          </w:tcPr>
          <w:p w14:paraId="73CC05D5"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0.627</w:t>
            </w:r>
          </w:p>
        </w:tc>
        <w:tc>
          <w:tcPr>
            <w:tcW w:w="1212" w:type="dxa"/>
            <w:tcBorders>
              <w:top w:val="nil"/>
              <w:left w:val="nil"/>
              <w:bottom w:val="nil"/>
              <w:right w:val="nil"/>
            </w:tcBorders>
            <w:noWrap/>
            <w:vAlign w:val="center"/>
            <w:hideMark/>
          </w:tcPr>
          <w:p w14:paraId="7508AAF9"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0.727</w:t>
            </w:r>
          </w:p>
        </w:tc>
        <w:tc>
          <w:tcPr>
            <w:tcW w:w="1058" w:type="dxa"/>
            <w:tcBorders>
              <w:top w:val="nil"/>
              <w:left w:val="nil"/>
              <w:bottom w:val="nil"/>
              <w:right w:val="single" w:sz="12" w:space="0" w:color="auto"/>
            </w:tcBorders>
            <w:noWrap/>
            <w:vAlign w:val="center"/>
            <w:hideMark/>
          </w:tcPr>
          <w:p w14:paraId="6893FBBB"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0.965</w:t>
            </w:r>
          </w:p>
        </w:tc>
        <w:tc>
          <w:tcPr>
            <w:tcW w:w="1330" w:type="dxa"/>
            <w:tcBorders>
              <w:top w:val="nil"/>
              <w:left w:val="nil"/>
              <w:bottom w:val="nil"/>
              <w:right w:val="nil"/>
            </w:tcBorders>
            <w:noWrap/>
            <w:vAlign w:val="center"/>
            <w:hideMark/>
          </w:tcPr>
          <w:p w14:paraId="102D16B8"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0.725</w:t>
            </w:r>
          </w:p>
        </w:tc>
        <w:tc>
          <w:tcPr>
            <w:tcW w:w="1242" w:type="dxa"/>
            <w:tcBorders>
              <w:top w:val="nil"/>
              <w:left w:val="nil"/>
              <w:bottom w:val="nil"/>
              <w:right w:val="nil"/>
            </w:tcBorders>
            <w:noWrap/>
            <w:vAlign w:val="center"/>
            <w:hideMark/>
          </w:tcPr>
          <w:p w14:paraId="2CCD45E5"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0.918</w:t>
            </w:r>
          </w:p>
        </w:tc>
        <w:tc>
          <w:tcPr>
            <w:tcW w:w="1058" w:type="dxa"/>
            <w:tcBorders>
              <w:top w:val="nil"/>
              <w:left w:val="nil"/>
              <w:bottom w:val="nil"/>
              <w:right w:val="single" w:sz="12" w:space="0" w:color="auto"/>
            </w:tcBorders>
            <w:noWrap/>
            <w:vAlign w:val="center"/>
            <w:hideMark/>
          </w:tcPr>
          <w:p w14:paraId="59FF2CBE"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0.938</w:t>
            </w:r>
          </w:p>
        </w:tc>
      </w:tr>
      <w:tr w:rsidR="00F97632" w:rsidRPr="00B26042" w14:paraId="531081B1"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42AF25E2"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Workers (count)</w:t>
            </w:r>
          </w:p>
        </w:tc>
        <w:tc>
          <w:tcPr>
            <w:tcW w:w="1239" w:type="dxa"/>
            <w:tcBorders>
              <w:top w:val="nil"/>
              <w:left w:val="nil"/>
              <w:bottom w:val="nil"/>
              <w:right w:val="nil"/>
            </w:tcBorders>
            <w:noWrap/>
            <w:vAlign w:val="center"/>
            <w:hideMark/>
          </w:tcPr>
          <w:p w14:paraId="544D2CB0"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95</w:t>
            </w:r>
          </w:p>
        </w:tc>
        <w:tc>
          <w:tcPr>
            <w:tcW w:w="1212" w:type="dxa"/>
            <w:tcBorders>
              <w:top w:val="nil"/>
              <w:left w:val="nil"/>
              <w:bottom w:val="nil"/>
              <w:right w:val="nil"/>
            </w:tcBorders>
            <w:noWrap/>
            <w:vAlign w:val="center"/>
            <w:hideMark/>
          </w:tcPr>
          <w:p w14:paraId="2FB830C2"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61</w:t>
            </w:r>
          </w:p>
        </w:tc>
        <w:tc>
          <w:tcPr>
            <w:tcW w:w="1058" w:type="dxa"/>
            <w:tcBorders>
              <w:top w:val="nil"/>
              <w:left w:val="nil"/>
              <w:bottom w:val="nil"/>
              <w:right w:val="single" w:sz="12" w:space="0" w:color="auto"/>
            </w:tcBorders>
            <w:noWrap/>
            <w:vAlign w:val="center"/>
            <w:hideMark/>
          </w:tcPr>
          <w:p w14:paraId="48334DA1"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238</w:t>
            </w:r>
          </w:p>
        </w:tc>
        <w:tc>
          <w:tcPr>
            <w:tcW w:w="1330" w:type="dxa"/>
            <w:tcBorders>
              <w:top w:val="nil"/>
              <w:left w:val="nil"/>
              <w:bottom w:val="nil"/>
              <w:right w:val="nil"/>
            </w:tcBorders>
            <w:noWrap/>
            <w:vAlign w:val="center"/>
            <w:hideMark/>
          </w:tcPr>
          <w:p w14:paraId="7335FA71"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160</w:t>
            </w:r>
          </w:p>
        </w:tc>
        <w:tc>
          <w:tcPr>
            <w:tcW w:w="1242" w:type="dxa"/>
            <w:tcBorders>
              <w:top w:val="nil"/>
              <w:left w:val="nil"/>
              <w:bottom w:val="nil"/>
              <w:right w:val="nil"/>
            </w:tcBorders>
            <w:noWrap/>
            <w:vAlign w:val="center"/>
            <w:hideMark/>
          </w:tcPr>
          <w:p w14:paraId="78D5C2E6"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179</w:t>
            </w:r>
          </w:p>
        </w:tc>
        <w:tc>
          <w:tcPr>
            <w:tcW w:w="1058" w:type="dxa"/>
            <w:tcBorders>
              <w:top w:val="nil"/>
              <w:left w:val="nil"/>
              <w:bottom w:val="nil"/>
              <w:right w:val="single" w:sz="12" w:space="0" w:color="auto"/>
            </w:tcBorders>
            <w:noWrap/>
            <w:vAlign w:val="center"/>
            <w:hideMark/>
          </w:tcPr>
          <w:p w14:paraId="3BA2E984"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207</w:t>
            </w:r>
          </w:p>
        </w:tc>
      </w:tr>
      <w:tr w:rsidR="00F97632" w:rsidRPr="00B26042" w14:paraId="2FF72B81"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3B4C5544"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Workers (mass per individual, g)</w:t>
            </w:r>
          </w:p>
        </w:tc>
        <w:tc>
          <w:tcPr>
            <w:tcW w:w="1239" w:type="dxa"/>
            <w:tcBorders>
              <w:top w:val="nil"/>
              <w:left w:val="nil"/>
              <w:bottom w:val="nil"/>
              <w:right w:val="nil"/>
            </w:tcBorders>
            <w:noWrap/>
            <w:vAlign w:val="center"/>
            <w:hideMark/>
          </w:tcPr>
          <w:p w14:paraId="7A6FF61B"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0.170</w:t>
            </w:r>
          </w:p>
        </w:tc>
        <w:tc>
          <w:tcPr>
            <w:tcW w:w="1212" w:type="dxa"/>
            <w:tcBorders>
              <w:top w:val="nil"/>
              <w:left w:val="nil"/>
              <w:bottom w:val="nil"/>
              <w:right w:val="nil"/>
            </w:tcBorders>
            <w:noWrap/>
            <w:vAlign w:val="center"/>
            <w:hideMark/>
          </w:tcPr>
          <w:p w14:paraId="344152EF"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0.170</w:t>
            </w:r>
          </w:p>
        </w:tc>
        <w:tc>
          <w:tcPr>
            <w:tcW w:w="1058" w:type="dxa"/>
            <w:tcBorders>
              <w:top w:val="nil"/>
              <w:left w:val="nil"/>
              <w:bottom w:val="nil"/>
              <w:right w:val="single" w:sz="12" w:space="0" w:color="auto"/>
            </w:tcBorders>
            <w:noWrap/>
            <w:vAlign w:val="center"/>
            <w:hideMark/>
          </w:tcPr>
          <w:p w14:paraId="49176EAB"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0.158</w:t>
            </w:r>
          </w:p>
        </w:tc>
        <w:tc>
          <w:tcPr>
            <w:tcW w:w="1330" w:type="dxa"/>
            <w:tcBorders>
              <w:top w:val="nil"/>
              <w:left w:val="nil"/>
              <w:bottom w:val="nil"/>
              <w:right w:val="nil"/>
            </w:tcBorders>
            <w:noWrap/>
            <w:vAlign w:val="center"/>
            <w:hideMark/>
          </w:tcPr>
          <w:p w14:paraId="22FD79C7"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0.088</w:t>
            </w:r>
          </w:p>
        </w:tc>
        <w:tc>
          <w:tcPr>
            <w:tcW w:w="1242" w:type="dxa"/>
            <w:tcBorders>
              <w:top w:val="nil"/>
              <w:left w:val="nil"/>
              <w:bottom w:val="nil"/>
              <w:right w:val="nil"/>
            </w:tcBorders>
            <w:noWrap/>
            <w:vAlign w:val="center"/>
            <w:hideMark/>
          </w:tcPr>
          <w:p w14:paraId="71359118"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0.132</w:t>
            </w:r>
          </w:p>
        </w:tc>
        <w:tc>
          <w:tcPr>
            <w:tcW w:w="1058" w:type="dxa"/>
            <w:tcBorders>
              <w:top w:val="nil"/>
              <w:left w:val="nil"/>
              <w:bottom w:val="nil"/>
              <w:right w:val="single" w:sz="12" w:space="0" w:color="auto"/>
            </w:tcBorders>
            <w:noWrap/>
            <w:vAlign w:val="center"/>
            <w:hideMark/>
          </w:tcPr>
          <w:p w14:paraId="2F0C42B3"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0.144</w:t>
            </w:r>
          </w:p>
        </w:tc>
      </w:tr>
      <w:tr w:rsidR="00F97632" w:rsidRPr="00B26042" w14:paraId="23C71143"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384CC383"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Stored honey &amp; pollen cells</w:t>
            </w:r>
          </w:p>
        </w:tc>
        <w:tc>
          <w:tcPr>
            <w:tcW w:w="1239" w:type="dxa"/>
            <w:tcBorders>
              <w:top w:val="nil"/>
              <w:left w:val="nil"/>
              <w:bottom w:val="nil"/>
              <w:right w:val="nil"/>
            </w:tcBorders>
            <w:noWrap/>
            <w:vAlign w:val="center"/>
            <w:hideMark/>
          </w:tcPr>
          <w:p w14:paraId="73F555A6"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38</w:t>
            </w:r>
          </w:p>
        </w:tc>
        <w:tc>
          <w:tcPr>
            <w:tcW w:w="1212" w:type="dxa"/>
            <w:tcBorders>
              <w:top w:val="nil"/>
              <w:left w:val="nil"/>
              <w:bottom w:val="nil"/>
              <w:right w:val="nil"/>
            </w:tcBorders>
            <w:noWrap/>
            <w:vAlign w:val="center"/>
            <w:hideMark/>
          </w:tcPr>
          <w:p w14:paraId="25E3B213"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168</w:t>
            </w:r>
          </w:p>
        </w:tc>
        <w:tc>
          <w:tcPr>
            <w:tcW w:w="1058" w:type="dxa"/>
            <w:tcBorders>
              <w:top w:val="nil"/>
              <w:left w:val="nil"/>
              <w:bottom w:val="nil"/>
              <w:right w:val="single" w:sz="12" w:space="0" w:color="auto"/>
            </w:tcBorders>
            <w:noWrap/>
            <w:vAlign w:val="center"/>
            <w:hideMark/>
          </w:tcPr>
          <w:p w14:paraId="2B33449E"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322</w:t>
            </w:r>
          </w:p>
        </w:tc>
        <w:tc>
          <w:tcPr>
            <w:tcW w:w="1330" w:type="dxa"/>
            <w:tcBorders>
              <w:top w:val="nil"/>
              <w:left w:val="nil"/>
              <w:bottom w:val="nil"/>
              <w:right w:val="nil"/>
            </w:tcBorders>
            <w:noWrap/>
            <w:vAlign w:val="center"/>
            <w:hideMark/>
          </w:tcPr>
          <w:p w14:paraId="68DC2056"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324</w:t>
            </w:r>
          </w:p>
        </w:tc>
        <w:tc>
          <w:tcPr>
            <w:tcW w:w="1242" w:type="dxa"/>
            <w:tcBorders>
              <w:top w:val="nil"/>
              <w:left w:val="nil"/>
              <w:bottom w:val="nil"/>
              <w:right w:val="nil"/>
            </w:tcBorders>
            <w:noWrap/>
            <w:vAlign w:val="center"/>
            <w:hideMark/>
          </w:tcPr>
          <w:p w14:paraId="5FD17342"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448</w:t>
            </w:r>
          </w:p>
        </w:tc>
        <w:tc>
          <w:tcPr>
            <w:tcW w:w="1058" w:type="dxa"/>
            <w:tcBorders>
              <w:top w:val="nil"/>
              <w:left w:val="nil"/>
              <w:bottom w:val="nil"/>
              <w:right w:val="single" w:sz="12" w:space="0" w:color="auto"/>
            </w:tcBorders>
            <w:noWrap/>
            <w:vAlign w:val="center"/>
            <w:hideMark/>
          </w:tcPr>
          <w:p w14:paraId="013F9A06"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570</w:t>
            </w:r>
          </w:p>
        </w:tc>
      </w:tr>
      <w:tr w:rsidR="00F97632" w:rsidRPr="00B26042" w14:paraId="10F15E9E" w14:textId="77777777" w:rsidTr="00FC6108">
        <w:trPr>
          <w:trHeight w:val="315"/>
        </w:trPr>
        <w:tc>
          <w:tcPr>
            <w:tcW w:w="9680" w:type="dxa"/>
            <w:gridSpan w:val="7"/>
            <w:tcBorders>
              <w:top w:val="nil"/>
              <w:left w:val="single" w:sz="12" w:space="0" w:color="auto"/>
              <w:bottom w:val="nil"/>
              <w:right w:val="single" w:sz="12" w:space="0" w:color="000000"/>
            </w:tcBorders>
            <w:shd w:val="clear" w:color="000000" w:fill="D9D9D9"/>
            <w:noWrap/>
            <w:vAlign w:val="center"/>
            <w:hideMark/>
          </w:tcPr>
          <w:p w14:paraId="35D1E3D9" w14:textId="531FB58E" w:rsidR="00F97632" w:rsidRPr="00B26042" w:rsidRDefault="00F97632" w:rsidP="003F695E">
            <w:pPr>
              <w:spacing w:after="0" w:line="240" w:lineRule="auto"/>
              <w:rPr>
                <w:rFonts w:asciiTheme="majorBidi" w:eastAsia="Times New Roman" w:hAnsiTheme="majorBidi" w:cstheme="majorBidi"/>
                <w:b/>
                <w:bCs/>
                <w:color w:val="000000"/>
                <w:kern w:val="0"/>
                <w:sz w:val="20"/>
                <w:szCs w:val="20"/>
                <w14:ligatures w14:val="none"/>
              </w:rPr>
            </w:pPr>
            <w:r w:rsidRPr="00B26042">
              <w:rPr>
                <w:rFonts w:asciiTheme="majorBidi" w:eastAsia="Times New Roman" w:hAnsiTheme="majorBidi" w:cstheme="majorBidi"/>
                <w:b/>
                <w:bCs/>
                <w:color w:val="000000"/>
                <w:kern w:val="0"/>
                <w:sz w:val="20"/>
                <w:szCs w:val="20"/>
                <w14:ligatures w14:val="none"/>
              </w:rPr>
              <w:t>Reproductive health factors</w:t>
            </w:r>
          </w:p>
        </w:tc>
      </w:tr>
      <w:tr w:rsidR="00F97632" w:rsidRPr="00B26042" w14:paraId="112874F0"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16C78E12"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Eggs</w:t>
            </w:r>
          </w:p>
        </w:tc>
        <w:tc>
          <w:tcPr>
            <w:tcW w:w="1239" w:type="dxa"/>
            <w:tcBorders>
              <w:top w:val="nil"/>
              <w:left w:val="nil"/>
              <w:bottom w:val="nil"/>
              <w:right w:val="nil"/>
            </w:tcBorders>
            <w:noWrap/>
            <w:vAlign w:val="center"/>
            <w:hideMark/>
          </w:tcPr>
          <w:p w14:paraId="00A204A3"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85</w:t>
            </w:r>
          </w:p>
        </w:tc>
        <w:tc>
          <w:tcPr>
            <w:tcW w:w="1212" w:type="dxa"/>
            <w:tcBorders>
              <w:top w:val="nil"/>
              <w:left w:val="nil"/>
              <w:bottom w:val="nil"/>
              <w:right w:val="nil"/>
            </w:tcBorders>
            <w:noWrap/>
            <w:vAlign w:val="center"/>
            <w:hideMark/>
          </w:tcPr>
          <w:p w14:paraId="62988840"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26</w:t>
            </w:r>
          </w:p>
        </w:tc>
        <w:tc>
          <w:tcPr>
            <w:tcW w:w="1058" w:type="dxa"/>
            <w:tcBorders>
              <w:top w:val="nil"/>
              <w:left w:val="nil"/>
              <w:bottom w:val="nil"/>
              <w:right w:val="single" w:sz="12" w:space="0" w:color="auto"/>
            </w:tcBorders>
            <w:noWrap/>
            <w:vAlign w:val="center"/>
            <w:hideMark/>
          </w:tcPr>
          <w:p w14:paraId="10AFF172"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135</w:t>
            </w:r>
          </w:p>
        </w:tc>
        <w:tc>
          <w:tcPr>
            <w:tcW w:w="1330" w:type="dxa"/>
            <w:tcBorders>
              <w:top w:val="nil"/>
              <w:left w:val="nil"/>
              <w:bottom w:val="nil"/>
              <w:right w:val="nil"/>
            </w:tcBorders>
            <w:noWrap/>
            <w:vAlign w:val="center"/>
            <w:hideMark/>
          </w:tcPr>
          <w:p w14:paraId="48CE5A76"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w:t>
            </w:r>
          </w:p>
        </w:tc>
        <w:tc>
          <w:tcPr>
            <w:tcW w:w="1242" w:type="dxa"/>
            <w:tcBorders>
              <w:top w:val="nil"/>
              <w:left w:val="nil"/>
              <w:bottom w:val="nil"/>
              <w:right w:val="nil"/>
            </w:tcBorders>
            <w:noWrap/>
            <w:vAlign w:val="center"/>
            <w:hideMark/>
          </w:tcPr>
          <w:p w14:paraId="2F71359D"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33</w:t>
            </w:r>
          </w:p>
        </w:tc>
        <w:tc>
          <w:tcPr>
            <w:tcW w:w="1058" w:type="dxa"/>
            <w:tcBorders>
              <w:top w:val="nil"/>
              <w:left w:val="nil"/>
              <w:bottom w:val="nil"/>
              <w:right w:val="single" w:sz="12" w:space="0" w:color="auto"/>
            </w:tcBorders>
            <w:noWrap/>
            <w:vAlign w:val="center"/>
            <w:hideMark/>
          </w:tcPr>
          <w:p w14:paraId="25228C39"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135</w:t>
            </w:r>
          </w:p>
        </w:tc>
      </w:tr>
      <w:tr w:rsidR="00F97632" w:rsidRPr="00B26042" w14:paraId="77FF6655"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581AC96B"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Larvae</w:t>
            </w:r>
          </w:p>
        </w:tc>
        <w:tc>
          <w:tcPr>
            <w:tcW w:w="1239" w:type="dxa"/>
            <w:tcBorders>
              <w:top w:val="nil"/>
              <w:left w:val="nil"/>
              <w:bottom w:val="nil"/>
              <w:right w:val="nil"/>
            </w:tcBorders>
            <w:noWrap/>
            <w:vAlign w:val="center"/>
            <w:hideMark/>
          </w:tcPr>
          <w:p w14:paraId="16ADEA7C"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164</w:t>
            </w:r>
          </w:p>
        </w:tc>
        <w:tc>
          <w:tcPr>
            <w:tcW w:w="1212" w:type="dxa"/>
            <w:tcBorders>
              <w:top w:val="nil"/>
              <w:left w:val="nil"/>
              <w:bottom w:val="nil"/>
              <w:right w:val="nil"/>
            </w:tcBorders>
            <w:noWrap/>
            <w:vAlign w:val="center"/>
            <w:hideMark/>
          </w:tcPr>
          <w:p w14:paraId="29095E01"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46</w:t>
            </w:r>
          </w:p>
        </w:tc>
        <w:tc>
          <w:tcPr>
            <w:tcW w:w="1058" w:type="dxa"/>
            <w:tcBorders>
              <w:top w:val="nil"/>
              <w:left w:val="nil"/>
              <w:bottom w:val="nil"/>
              <w:right w:val="single" w:sz="12" w:space="0" w:color="auto"/>
            </w:tcBorders>
            <w:noWrap/>
            <w:vAlign w:val="center"/>
            <w:hideMark/>
          </w:tcPr>
          <w:p w14:paraId="676826BA"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154</w:t>
            </w:r>
          </w:p>
        </w:tc>
        <w:tc>
          <w:tcPr>
            <w:tcW w:w="1330" w:type="dxa"/>
            <w:tcBorders>
              <w:top w:val="nil"/>
              <w:left w:val="nil"/>
              <w:bottom w:val="nil"/>
              <w:right w:val="nil"/>
            </w:tcBorders>
            <w:noWrap/>
            <w:vAlign w:val="center"/>
            <w:hideMark/>
          </w:tcPr>
          <w:p w14:paraId="21A289A9"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w:t>
            </w:r>
          </w:p>
        </w:tc>
        <w:tc>
          <w:tcPr>
            <w:tcW w:w="1242" w:type="dxa"/>
            <w:tcBorders>
              <w:top w:val="nil"/>
              <w:left w:val="nil"/>
              <w:bottom w:val="nil"/>
              <w:right w:val="nil"/>
            </w:tcBorders>
            <w:noWrap/>
            <w:vAlign w:val="center"/>
            <w:hideMark/>
          </w:tcPr>
          <w:p w14:paraId="7387D4EF"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44</w:t>
            </w:r>
          </w:p>
        </w:tc>
        <w:tc>
          <w:tcPr>
            <w:tcW w:w="1058" w:type="dxa"/>
            <w:tcBorders>
              <w:top w:val="nil"/>
              <w:left w:val="nil"/>
              <w:bottom w:val="nil"/>
              <w:right w:val="single" w:sz="12" w:space="0" w:color="auto"/>
            </w:tcBorders>
            <w:noWrap/>
            <w:vAlign w:val="center"/>
            <w:hideMark/>
          </w:tcPr>
          <w:p w14:paraId="3D00CC09"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128</w:t>
            </w:r>
          </w:p>
        </w:tc>
      </w:tr>
      <w:tr w:rsidR="00F97632" w:rsidRPr="00B26042" w14:paraId="1CB4F255"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1C05CB15"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Pupae</w:t>
            </w:r>
          </w:p>
        </w:tc>
        <w:tc>
          <w:tcPr>
            <w:tcW w:w="1239" w:type="dxa"/>
            <w:tcBorders>
              <w:top w:val="nil"/>
              <w:left w:val="nil"/>
              <w:bottom w:val="nil"/>
              <w:right w:val="nil"/>
            </w:tcBorders>
            <w:noWrap/>
            <w:vAlign w:val="center"/>
            <w:hideMark/>
          </w:tcPr>
          <w:p w14:paraId="254CB661"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63</w:t>
            </w:r>
          </w:p>
        </w:tc>
        <w:tc>
          <w:tcPr>
            <w:tcW w:w="1212" w:type="dxa"/>
            <w:tcBorders>
              <w:top w:val="nil"/>
              <w:left w:val="nil"/>
              <w:bottom w:val="nil"/>
              <w:right w:val="nil"/>
            </w:tcBorders>
            <w:noWrap/>
            <w:vAlign w:val="center"/>
            <w:hideMark/>
          </w:tcPr>
          <w:p w14:paraId="0AFD613D"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15</w:t>
            </w:r>
          </w:p>
        </w:tc>
        <w:tc>
          <w:tcPr>
            <w:tcW w:w="1058" w:type="dxa"/>
            <w:tcBorders>
              <w:top w:val="nil"/>
              <w:left w:val="nil"/>
              <w:bottom w:val="nil"/>
              <w:right w:val="single" w:sz="12" w:space="0" w:color="auto"/>
            </w:tcBorders>
            <w:noWrap/>
            <w:vAlign w:val="center"/>
            <w:hideMark/>
          </w:tcPr>
          <w:p w14:paraId="358804E7"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92</w:t>
            </w:r>
          </w:p>
        </w:tc>
        <w:tc>
          <w:tcPr>
            <w:tcW w:w="1330" w:type="dxa"/>
            <w:tcBorders>
              <w:top w:val="nil"/>
              <w:left w:val="nil"/>
              <w:bottom w:val="nil"/>
              <w:right w:val="nil"/>
            </w:tcBorders>
            <w:noWrap/>
            <w:vAlign w:val="center"/>
            <w:hideMark/>
          </w:tcPr>
          <w:p w14:paraId="3E30DE0C"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17</w:t>
            </w:r>
          </w:p>
        </w:tc>
        <w:tc>
          <w:tcPr>
            <w:tcW w:w="1242" w:type="dxa"/>
            <w:tcBorders>
              <w:top w:val="nil"/>
              <w:left w:val="nil"/>
              <w:bottom w:val="nil"/>
              <w:right w:val="nil"/>
            </w:tcBorders>
            <w:noWrap/>
            <w:vAlign w:val="center"/>
            <w:hideMark/>
          </w:tcPr>
          <w:p w14:paraId="73C33AD0"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52</w:t>
            </w:r>
          </w:p>
        </w:tc>
        <w:tc>
          <w:tcPr>
            <w:tcW w:w="1058" w:type="dxa"/>
            <w:tcBorders>
              <w:top w:val="nil"/>
              <w:left w:val="nil"/>
              <w:bottom w:val="nil"/>
              <w:right w:val="single" w:sz="12" w:space="0" w:color="auto"/>
            </w:tcBorders>
            <w:noWrap/>
            <w:vAlign w:val="center"/>
            <w:hideMark/>
          </w:tcPr>
          <w:p w14:paraId="23B43034"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176</w:t>
            </w:r>
          </w:p>
        </w:tc>
      </w:tr>
      <w:tr w:rsidR="00F97632" w:rsidRPr="00B26042" w14:paraId="52164BF5"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64C17421" w14:textId="7E6D5D21"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Queen (mass, g)</w:t>
            </w:r>
          </w:p>
        </w:tc>
        <w:tc>
          <w:tcPr>
            <w:tcW w:w="1239" w:type="dxa"/>
            <w:tcBorders>
              <w:top w:val="nil"/>
              <w:left w:val="nil"/>
              <w:bottom w:val="nil"/>
              <w:right w:val="nil"/>
            </w:tcBorders>
            <w:noWrap/>
            <w:vAlign w:val="center"/>
            <w:hideMark/>
          </w:tcPr>
          <w:p w14:paraId="6C90FA3D"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0.848</w:t>
            </w:r>
          </w:p>
        </w:tc>
        <w:tc>
          <w:tcPr>
            <w:tcW w:w="1212" w:type="dxa"/>
            <w:tcBorders>
              <w:top w:val="nil"/>
              <w:left w:val="nil"/>
              <w:bottom w:val="nil"/>
              <w:right w:val="nil"/>
            </w:tcBorders>
            <w:noWrap/>
            <w:vAlign w:val="center"/>
            <w:hideMark/>
          </w:tcPr>
          <w:p w14:paraId="10DCF7B7" w14:textId="79A42BCD"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0.88</w:t>
            </w:r>
            <w:r>
              <w:rPr>
                <w:rFonts w:asciiTheme="majorBidi" w:eastAsia="Times New Roman" w:hAnsiTheme="majorBidi" w:cstheme="majorBidi"/>
                <w:color w:val="000000"/>
                <w:kern w:val="0"/>
                <w:sz w:val="20"/>
                <w:szCs w:val="20"/>
                <w14:ligatures w14:val="none"/>
              </w:rPr>
              <w:t>0</w:t>
            </w:r>
          </w:p>
        </w:tc>
        <w:tc>
          <w:tcPr>
            <w:tcW w:w="1058" w:type="dxa"/>
            <w:tcBorders>
              <w:top w:val="nil"/>
              <w:left w:val="nil"/>
              <w:bottom w:val="nil"/>
              <w:right w:val="single" w:sz="12" w:space="0" w:color="auto"/>
            </w:tcBorders>
            <w:noWrap/>
            <w:vAlign w:val="center"/>
            <w:hideMark/>
          </w:tcPr>
          <w:p w14:paraId="0817DD35"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0.845</w:t>
            </w:r>
          </w:p>
        </w:tc>
        <w:tc>
          <w:tcPr>
            <w:tcW w:w="1330" w:type="dxa"/>
            <w:tcBorders>
              <w:top w:val="nil"/>
              <w:left w:val="nil"/>
              <w:bottom w:val="nil"/>
              <w:right w:val="nil"/>
            </w:tcBorders>
            <w:noWrap/>
            <w:vAlign w:val="center"/>
            <w:hideMark/>
          </w:tcPr>
          <w:p w14:paraId="168DF6CC"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0.740</w:t>
            </w:r>
          </w:p>
        </w:tc>
        <w:tc>
          <w:tcPr>
            <w:tcW w:w="1242" w:type="dxa"/>
            <w:tcBorders>
              <w:top w:val="nil"/>
              <w:left w:val="nil"/>
              <w:bottom w:val="nil"/>
              <w:right w:val="nil"/>
            </w:tcBorders>
            <w:noWrap/>
            <w:vAlign w:val="center"/>
            <w:hideMark/>
          </w:tcPr>
          <w:p w14:paraId="5F41C0F5"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0.720</w:t>
            </w:r>
          </w:p>
        </w:tc>
        <w:tc>
          <w:tcPr>
            <w:tcW w:w="1058" w:type="dxa"/>
            <w:tcBorders>
              <w:top w:val="nil"/>
              <w:left w:val="nil"/>
              <w:bottom w:val="nil"/>
              <w:right w:val="single" w:sz="12" w:space="0" w:color="auto"/>
            </w:tcBorders>
            <w:noWrap/>
            <w:vAlign w:val="center"/>
            <w:hideMark/>
          </w:tcPr>
          <w:p w14:paraId="78945077"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0.820</w:t>
            </w:r>
          </w:p>
        </w:tc>
      </w:tr>
      <w:tr w:rsidR="00F97632" w:rsidRPr="00B26042" w14:paraId="4A792A0D"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3C6CD889"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Drones (count)</w:t>
            </w:r>
          </w:p>
        </w:tc>
        <w:tc>
          <w:tcPr>
            <w:tcW w:w="1239" w:type="dxa"/>
            <w:tcBorders>
              <w:top w:val="nil"/>
              <w:left w:val="nil"/>
              <w:bottom w:val="nil"/>
              <w:right w:val="nil"/>
            </w:tcBorders>
            <w:noWrap/>
            <w:vAlign w:val="center"/>
            <w:hideMark/>
          </w:tcPr>
          <w:p w14:paraId="36BBD424"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4</w:t>
            </w:r>
          </w:p>
        </w:tc>
        <w:tc>
          <w:tcPr>
            <w:tcW w:w="1212" w:type="dxa"/>
            <w:tcBorders>
              <w:top w:val="nil"/>
              <w:left w:val="nil"/>
              <w:bottom w:val="nil"/>
              <w:right w:val="nil"/>
            </w:tcBorders>
            <w:noWrap/>
            <w:vAlign w:val="center"/>
            <w:hideMark/>
          </w:tcPr>
          <w:p w14:paraId="5EC630C8"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w:t>
            </w:r>
          </w:p>
        </w:tc>
        <w:tc>
          <w:tcPr>
            <w:tcW w:w="1058" w:type="dxa"/>
            <w:tcBorders>
              <w:top w:val="nil"/>
              <w:left w:val="nil"/>
              <w:bottom w:val="nil"/>
              <w:right w:val="single" w:sz="12" w:space="0" w:color="auto"/>
            </w:tcBorders>
            <w:noWrap/>
            <w:vAlign w:val="center"/>
            <w:hideMark/>
          </w:tcPr>
          <w:p w14:paraId="744A6256"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12</w:t>
            </w:r>
          </w:p>
        </w:tc>
        <w:tc>
          <w:tcPr>
            <w:tcW w:w="1330" w:type="dxa"/>
            <w:tcBorders>
              <w:top w:val="nil"/>
              <w:left w:val="nil"/>
              <w:bottom w:val="nil"/>
              <w:right w:val="nil"/>
            </w:tcBorders>
            <w:noWrap/>
            <w:vAlign w:val="center"/>
            <w:hideMark/>
          </w:tcPr>
          <w:p w14:paraId="64AB7CD8"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3</w:t>
            </w:r>
          </w:p>
        </w:tc>
        <w:tc>
          <w:tcPr>
            <w:tcW w:w="1242" w:type="dxa"/>
            <w:tcBorders>
              <w:top w:val="nil"/>
              <w:left w:val="nil"/>
              <w:bottom w:val="nil"/>
              <w:right w:val="nil"/>
            </w:tcBorders>
            <w:noWrap/>
            <w:vAlign w:val="center"/>
            <w:hideMark/>
          </w:tcPr>
          <w:p w14:paraId="21E15133"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3</w:t>
            </w:r>
          </w:p>
        </w:tc>
        <w:tc>
          <w:tcPr>
            <w:tcW w:w="1058" w:type="dxa"/>
            <w:tcBorders>
              <w:top w:val="nil"/>
              <w:left w:val="nil"/>
              <w:bottom w:val="nil"/>
              <w:right w:val="single" w:sz="12" w:space="0" w:color="auto"/>
            </w:tcBorders>
            <w:noWrap/>
            <w:vAlign w:val="center"/>
            <w:hideMark/>
          </w:tcPr>
          <w:p w14:paraId="5BF4C620"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11</w:t>
            </w:r>
          </w:p>
        </w:tc>
      </w:tr>
      <w:tr w:rsidR="00F97632" w:rsidRPr="00B26042" w14:paraId="628D1766" w14:textId="77777777" w:rsidTr="00FC6108">
        <w:trPr>
          <w:trHeight w:val="315"/>
        </w:trPr>
        <w:tc>
          <w:tcPr>
            <w:tcW w:w="9680" w:type="dxa"/>
            <w:gridSpan w:val="7"/>
            <w:tcBorders>
              <w:top w:val="nil"/>
              <w:left w:val="single" w:sz="12" w:space="0" w:color="auto"/>
              <w:bottom w:val="nil"/>
              <w:right w:val="single" w:sz="12" w:space="0" w:color="000000"/>
            </w:tcBorders>
            <w:shd w:val="clear" w:color="000000" w:fill="D9D9D9"/>
            <w:noWrap/>
            <w:vAlign w:val="center"/>
            <w:hideMark/>
          </w:tcPr>
          <w:p w14:paraId="01C3A178" w14:textId="733D2D9C" w:rsidR="00F97632" w:rsidRPr="00B26042" w:rsidRDefault="00F97632" w:rsidP="003F695E">
            <w:pPr>
              <w:spacing w:after="0" w:line="240" w:lineRule="auto"/>
              <w:rPr>
                <w:rFonts w:asciiTheme="majorBidi" w:eastAsia="Times New Roman" w:hAnsiTheme="majorBidi" w:cstheme="majorBidi"/>
                <w:b/>
                <w:bCs/>
                <w:color w:val="000000"/>
                <w:kern w:val="0"/>
                <w:sz w:val="20"/>
                <w:szCs w:val="20"/>
                <w14:ligatures w14:val="none"/>
              </w:rPr>
            </w:pPr>
            <w:r w:rsidRPr="00B26042">
              <w:rPr>
                <w:rFonts w:asciiTheme="majorBidi" w:eastAsia="Times New Roman" w:hAnsiTheme="majorBidi" w:cstheme="majorBidi"/>
                <w:b/>
                <w:bCs/>
                <w:color w:val="000000"/>
                <w:kern w:val="0"/>
                <w:sz w:val="20"/>
                <w:szCs w:val="20"/>
                <w14:ligatures w14:val="none"/>
              </w:rPr>
              <w:t>Colony health indices</w:t>
            </w:r>
          </w:p>
        </w:tc>
      </w:tr>
      <w:tr w:rsidR="00F97632" w:rsidRPr="00B26042" w14:paraId="0545F91F"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59C79B1D"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Combined health index</w:t>
            </w:r>
          </w:p>
        </w:tc>
        <w:tc>
          <w:tcPr>
            <w:tcW w:w="1239" w:type="dxa"/>
            <w:tcBorders>
              <w:top w:val="nil"/>
              <w:left w:val="nil"/>
              <w:bottom w:val="nil"/>
              <w:right w:val="nil"/>
            </w:tcBorders>
            <w:noWrap/>
            <w:vAlign w:val="center"/>
            <w:hideMark/>
          </w:tcPr>
          <w:p w14:paraId="5996996D"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-0.11</w:t>
            </w:r>
          </w:p>
        </w:tc>
        <w:tc>
          <w:tcPr>
            <w:tcW w:w="1212" w:type="dxa"/>
            <w:tcBorders>
              <w:top w:val="nil"/>
              <w:left w:val="nil"/>
              <w:bottom w:val="nil"/>
              <w:right w:val="nil"/>
            </w:tcBorders>
            <w:noWrap/>
            <w:vAlign w:val="center"/>
            <w:hideMark/>
          </w:tcPr>
          <w:p w14:paraId="0188C80A"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-0.338</w:t>
            </w:r>
          </w:p>
        </w:tc>
        <w:tc>
          <w:tcPr>
            <w:tcW w:w="1058" w:type="dxa"/>
            <w:tcBorders>
              <w:top w:val="nil"/>
              <w:left w:val="nil"/>
              <w:bottom w:val="nil"/>
              <w:right w:val="single" w:sz="12" w:space="0" w:color="auto"/>
            </w:tcBorders>
            <w:noWrap/>
            <w:vAlign w:val="center"/>
            <w:hideMark/>
          </w:tcPr>
          <w:p w14:paraId="776EC826"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0.517</w:t>
            </w:r>
          </w:p>
        </w:tc>
        <w:tc>
          <w:tcPr>
            <w:tcW w:w="1330" w:type="dxa"/>
            <w:tcBorders>
              <w:top w:val="nil"/>
              <w:left w:val="nil"/>
              <w:bottom w:val="nil"/>
              <w:right w:val="nil"/>
            </w:tcBorders>
            <w:noWrap/>
            <w:vAlign w:val="center"/>
            <w:hideMark/>
          </w:tcPr>
          <w:p w14:paraId="70015390"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-0.549</w:t>
            </w:r>
          </w:p>
        </w:tc>
        <w:tc>
          <w:tcPr>
            <w:tcW w:w="1242" w:type="dxa"/>
            <w:tcBorders>
              <w:top w:val="nil"/>
              <w:left w:val="nil"/>
              <w:bottom w:val="nil"/>
              <w:right w:val="nil"/>
            </w:tcBorders>
            <w:noWrap/>
            <w:vAlign w:val="center"/>
            <w:hideMark/>
          </w:tcPr>
          <w:p w14:paraId="7DEFA722"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-0.096</w:t>
            </w:r>
          </w:p>
        </w:tc>
        <w:tc>
          <w:tcPr>
            <w:tcW w:w="1058" w:type="dxa"/>
            <w:tcBorders>
              <w:top w:val="nil"/>
              <w:left w:val="nil"/>
              <w:bottom w:val="nil"/>
              <w:right w:val="single" w:sz="12" w:space="0" w:color="auto"/>
            </w:tcBorders>
            <w:noWrap/>
            <w:vAlign w:val="center"/>
            <w:hideMark/>
          </w:tcPr>
          <w:p w14:paraId="6DEBABE0"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0.59</w:t>
            </w:r>
          </w:p>
        </w:tc>
      </w:tr>
      <w:tr w:rsidR="00F97632" w:rsidRPr="00B26042" w14:paraId="24518CA3" w14:textId="77777777" w:rsidTr="00FC6108">
        <w:trPr>
          <w:trHeight w:val="315"/>
        </w:trPr>
        <w:tc>
          <w:tcPr>
            <w:tcW w:w="2541" w:type="dxa"/>
            <w:tcBorders>
              <w:top w:val="nil"/>
              <w:left w:val="single" w:sz="12" w:space="0" w:color="auto"/>
              <w:bottom w:val="nil"/>
              <w:right w:val="single" w:sz="12" w:space="0" w:color="auto"/>
            </w:tcBorders>
            <w:noWrap/>
            <w:vAlign w:val="bottom"/>
            <w:hideMark/>
          </w:tcPr>
          <w:p w14:paraId="6872D89A"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Reproductive health index</w:t>
            </w:r>
          </w:p>
        </w:tc>
        <w:tc>
          <w:tcPr>
            <w:tcW w:w="1239" w:type="dxa"/>
            <w:tcBorders>
              <w:top w:val="nil"/>
              <w:left w:val="nil"/>
              <w:bottom w:val="nil"/>
              <w:right w:val="nil"/>
            </w:tcBorders>
            <w:noWrap/>
            <w:vAlign w:val="center"/>
            <w:hideMark/>
          </w:tcPr>
          <w:p w14:paraId="18EC6A95"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0.218</w:t>
            </w:r>
          </w:p>
        </w:tc>
        <w:tc>
          <w:tcPr>
            <w:tcW w:w="1212" w:type="dxa"/>
            <w:tcBorders>
              <w:top w:val="nil"/>
              <w:left w:val="nil"/>
              <w:bottom w:val="nil"/>
              <w:right w:val="nil"/>
            </w:tcBorders>
            <w:noWrap/>
            <w:vAlign w:val="center"/>
            <w:hideMark/>
          </w:tcPr>
          <w:p w14:paraId="40C1996A"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-0.329</w:t>
            </w:r>
          </w:p>
        </w:tc>
        <w:tc>
          <w:tcPr>
            <w:tcW w:w="1058" w:type="dxa"/>
            <w:tcBorders>
              <w:top w:val="nil"/>
              <w:left w:val="nil"/>
              <w:bottom w:val="nil"/>
              <w:right w:val="single" w:sz="12" w:space="0" w:color="auto"/>
            </w:tcBorders>
            <w:noWrap/>
            <w:vAlign w:val="center"/>
            <w:hideMark/>
          </w:tcPr>
          <w:p w14:paraId="5E2755B1"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0.527</w:t>
            </w:r>
          </w:p>
        </w:tc>
        <w:tc>
          <w:tcPr>
            <w:tcW w:w="1330" w:type="dxa"/>
            <w:tcBorders>
              <w:top w:val="nil"/>
              <w:left w:val="nil"/>
              <w:bottom w:val="nil"/>
              <w:right w:val="nil"/>
            </w:tcBorders>
            <w:noWrap/>
            <w:vAlign w:val="center"/>
            <w:hideMark/>
          </w:tcPr>
          <w:p w14:paraId="260F4D81"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-0.607</w:t>
            </w:r>
          </w:p>
        </w:tc>
        <w:tc>
          <w:tcPr>
            <w:tcW w:w="1242" w:type="dxa"/>
            <w:tcBorders>
              <w:top w:val="nil"/>
              <w:left w:val="nil"/>
              <w:bottom w:val="nil"/>
              <w:right w:val="nil"/>
            </w:tcBorders>
            <w:noWrap/>
            <w:vAlign w:val="center"/>
            <w:hideMark/>
          </w:tcPr>
          <w:p w14:paraId="341D1E6A"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-0.362</w:t>
            </w:r>
          </w:p>
        </w:tc>
        <w:tc>
          <w:tcPr>
            <w:tcW w:w="1058" w:type="dxa"/>
            <w:tcBorders>
              <w:top w:val="nil"/>
              <w:left w:val="nil"/>
              <w:bottom w:val="nil"/>
              <w:right w:val="single" w:sz="12" w:space="0" w:color="auto"/>
            </w:tcBorders>
            <w:noWrap/>
            <w:vAlign w:val="center"/>
            <w:hideMark/>
          </w:tcPr>
          <w:p w14:paraId="5C248619"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0.637</w:t>
            </w:r>
          </w:p>
        </w:tc>
      </w:tr>
      <w:tr w:rsidR="00F97632" w:rsidRPr="00B26042" w14:paraId="07D1A473" w14:textId="77777777" w:rsidTr="00FC6108">
        <w:trPr>
          <w:trHeight w:val="325"/>
        </w:trPr>
        <w:tc>
          <w:tcPr>
            <w:tcW w:w="2541" w:type="dxa"/>
            <w:tcBorders>
              <w:top w:val="nil"/>
              <w:left w:val="single" w:sz="12" w:space="0" w:color="auto"/>
              <w:bottom w:val="single" w:sz="12" w:space="0" w:color="auto"/>
              <w:right w:val="single" w:sz="12" w:space="0" w:color="auto"/>
            </w:tcBorders>
            <w:noWrap/>
            <w:vAlign w:val="bottom"/>
            <w:hideMark/>
          </w:tcPr>
          <w:p w14:paraId="678CFCD7" w14:textId="77777777" w:rsidR="00F97632" w:rsidRPr="00B26042" w:rsidRDefault="00F97632" w:rsidP="00C97925">
            <w:pPr>
              <w:spacing w:after="0" w:line="240" w:lineRule="auto"/>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Somatic health index</w:t>
            </w:r>
          </w:p>
        </w:tc>
        <w:tc>
          <w:tcPr>
            <w:tcW w:w="1239" w:type="dxa"/>
            <w:tcBorders>
              <w:top w:val="nil"/>
              <w:left w:val="nil"/>
              <w:bottom w:val="single" w:sz="12" w:space="0" w:color="auto"/>
              <w:right w:val="nil"/>
            </w:tcBorders>
            <w:noWrap/>
            <w:vAlign w:val="center"/>
            <w:hideMark/>
          </w:tcPr>
          <w:p w14:paraId="26CCA3B7"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-0.52</w:t>
            </w:r>
          </w:p>
        </w:tc>
        <w:tc>
          <w:tcPr>
            <w:tcW w:w="1212" w:type="dxa"/>
            <w:tcBorders>
              <w:top w:val="nil"/>
              <w:left w:val="nil"/>
              <w:bottom w:val="single" w:sz="12" w:space="0" w:color="auto"/>
              <w:right w:val="nil"/>
            </w:tcBorders>
            <w:noWrap/>
            <w:vAlign w:val="center"/>
            <w:hideMark/>
          </w:tcPr>
          <w:p w14:paraId="13B174A1"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-0.351</w:t>
            </w:r>
          </w:p>
        </w:tc>
        <w:tc>
          <w:tcPr>
            <w:tcW w:w="1058" w:type="dxa"/>
            <w:tcBorders>
              <w:top w:val="nil"/>
              <w:left w:val="nil"/>
              <w:bottom w:val="single" w:sz="12" w:space="0" w:color="auto"/>
              <w:right w:val="single" w:sz="12" w:space="0" w:color="auto"/>
            </w:tcBorders>
            <w:noWrap/>
            <w:vAlign w:val="center"/>
            <w:hideMark/>
          </w:tcPr>
          <w:p w14:paraId="19D41377"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0.504</w:t>
            </w:r>
          </w:p>
        </w:tc>
        <w:tc>
          <w:tcPr>
            <w:tcW w:w="1330" w:type="dxa"/>
            <w:tcBorders>
              <w:top w:val="nil"/>
              <w:left w:val="nil"/>
              <w:bottom w:val="single" w:sz="12" w:space="0" w:color="auto"/>
              <w:right w:val="nil"/>
            </w:tcBorders>
            <w:noWrap/>
            <w:vAlign w:val="center"/>
            <w:hideMark/>
          </w:tcPr>
          <w:p w14:paraId="77FB80F0"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-0.475</w:t>
            </w:r>
          </w:p>
        </w:tc>
        <w:tc>
          <w:tcPr>
            <w:tcW w:w="1242" w:type="dxa"/>
            <w:tcBorders>
              <w:top w:val="nil"/>
              <w:left w:val="nil"/>
              <w:bottom w:val="single" w:sz="12" w:space="0" w:color="auto"/>
              <w:right w:val="nil"/>
            </w:tcBorders>
            <w:noWrap/>
            <w:vAlign w:val="center"/>
            <w:hideMark/>
          </w:tcPr>
          <w:p w14:paraId="068E66AF"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0.237</w:t>
            </w:r>
          </w:p>
        </w:tc>
        <w:tc>
          <w:tcPr>
            <w:tcW w:w="1058" w:type="dxa"/>
            <w:tcBorders>
              <w:top w:val="nil"/>
              <w:left w:val="nil"/>
              <w:bottom w:val="single" w:sz="12" w:space="0" w:color="auto"/>
              <w:right w:val="single" w:sz="12" w:space="0" w:color="auto"/>
            </w:tcBorders>
            <w:noWrap/>
            <w:vAlign w:val="center"/>
            <w:hideMark/>
          </w:tcPr>
          <w:p w14:paraId="200605D8" w14:textId="77777777" w:rsidR="00F97632" w:rsidRPr="00B26042" w:rsidRDefault="00F97632" w:rsidP="003F695E">
            <w:pPr>
              <w:spacing w:after="0" w:line="240" w:lineRule="auto"/>
              <w:jc w:val="center"/>
              <w:rPr>
                <w:rFonts w:asciiTheme="majorBidi" w:eastAsia="Times New Roman" w:hAnsiTheme="majorBidi" w:cstheme="majorBidi"/>
                <w:color w:val="000000"/>
                <w:kern w:val="0"/>
                <w:sz w:val="20"/>
                <w:szCs w:val="20"/>
                <w14:ligatures w14:val="none"/>
              </w:rPr>
            </w:pPr>
            <w:r w:rsidRPr="00B26042">
              <w:rPr>
                <w:rFonts w:asciiTheme="majorBidi" w:eastAsia="Times New Roman" w:hAnsiTheme="majorBidi" w:cstheme="majorBidi"/>
                <w:color w:val="000000"/>
                <w:kern w:val="0"/>
                <w:sz w:val="20"/>
                <w:szCs w:val="20"/>
                <w14:ligatures w14:val="none"/>
              </w:rPr>
              <w:t>0.531</w:t>
            </w:r>
          </w:p>
        </w:tc>
      </w:tr>
    </w:tbl>
    <w:p w14:paraId="4F01D9D5" w14:textId="2B2DA738" w:rsidR="00F0135D" w:rsidRDefault="00F0135D" w:rsidP="00F84B47"/>
    <w:sectPr w:rsidR="00F0135D" w:rsidSect="00FF217A">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E530" w14:textId="77777777" w:rsidR="00B3712F" w:rsidRDefault="00B3712F" w:rsidP="00DE6A5F">
      <w:pPr>
        <w:spacing w:after="0" w:line="240" w:lineRule="auto"/>
      </w:pPr>
      <w:r>
        <w:separator/>
      </w:r>
    </w:p>
  </w:endnote>
  <w:endnote w:type="continuationSeparator" w:id="0">
    <w:p w14:paraId="4A7F935E" w14:textId="77777777" w:rsidR="00B3712F" w:rsidRDefault="00B3712F" w:rsidP="00DE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519C" w14:textId="77777777" w:rsidR="00B3712F" w:rsidRDefault="00B3712F" w:rsidP="00DE6A5F">
      <w:pPr>
        <w:spacing w:after="0" w:line="240" w:lineRule="auto"/>
      </w:pPr>
      <w:r>
        <w:separator/>
      </w:r>
    </w:p>
  </w:footnote>
  <w:footnote w:type="continuationSeparator" w:id="0">
    <w:p w14:paraId="40A95FBE" w14:textId="77777777" w:rsidR="00B3712F" w:rsidRDefault="00B3712F" w:rsidP="00DE6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2928"/>
      <w:docPartObj>
        <w:docPartGallery w:val="Page Numbers (Top of Page)"/>
        <w:docPartUnique/>
      </w:docPartObj>
    </w:sdtPr>
    <w:sdtEndPr>
      <w:rPr>
        <w:rFonts w:asciiTheme="majorBidi" w:hAnsiTheme="majorBidi" w:cstheme="majorBidi"/>
        <w:noProof/>
      </w:rPr>
    </w:sdtEndPr>
    <w:sdtContent>
      <w:p w14:paraId="5613FB8E" w14:textId="28E21B5B" w:rsidR="00DE6A5F" w:rsidRPr="00DE6A5F" w:rsidRDefault="00DE6A5F">
        <w:pPr>
          <w:pStyle w:val="Kopfzeile"/>
          <w:jc w:val="right"/>
          <w:rPr>
            <w:rFonts w:asciiTheme="majorBidi" w:hAnsiTheme="majorBidi" w:cstheme="majorBidi"/>
          </w:rPr>
        </w:pPr>
        <w:r w:rsidRPr="00DE6A5F">
          <w:rPr>
            <w:rFonts w:asciiTheme="majorBidi" w:hAnsiTheme="majorBidi" w:cstheme="majorBidi"/>
          </w:rPr>
          <w:t xml:space="preserve">MESOTUNNEL </w:t>
        </w:r>
        <w:r w:rsidR="00DB7B17">
          <w:rPr>
            <w:rFonts w:asciiTheme="majorBidi" w:hAnsiTheme="majorBidi" w:cstheme="majorBidi"/>
          </w:rPr>
          <w:t xml:space="preserve">COLONY </w:t>
        </w:r>
        <w:r w:rsidRPr="00DE6A5F">
          <w:rPr>
            <w:rFonts w:asciiTheme="majorBidi" w:hAnsiTheme="majorBidi" w:cstheme="majorBidi"/>
          </w:rPr>
          <w:t xml:space="preserve">HEALTH </w:t>
        </w:r>
        <w:r w:rsidRPr="00DE6A5F">
          <w:rPr>
            <w:rFonts w:asciiTheme="majorBidi" w:hAnsiTheme="majorBidi" w:cstheme="majorBidi"/>
          </w:rPr>
          <w:fldChar w:fldCharType="begin"/>
        </w:r>
        <w:r w:rsidRPr="00DE6A5F">
          <w:rPr>
            <w:rFonts w:asciiTheme="majorBidi" w:hAnsiTheme="majorBidi" w:cstheme="majorBidi"/>
          </w:rPr>
          <w:instrText xml:space="preserve"> PAGE   \* MERGEFORMAT </w:instrText>
        </w:r>
        <w:r w:rsidRPr="00DE6A5F">
          <w:rPr>
            <w:rFonts w:asciiTheme="majorBidi" w:hAnsiTheme="majorBidi" w:cstheme="majorBidi"/>
          </w:rPr>
          <w:fldChar w:fldCharType="separate"/>
        </w:r>
        <w:r w:rsidRPr="00DE6A5F">
          <w:rPr>
            <w:rFonts w:asciiTheme="majorBidi" w:hAnsiTheme="majorBidi" w:cstheme="majorBidi"/>
            <w:noProof/>
          </w:rPr>
          <w:t>2</w:t>
        </w:r>
        <w:r w:rsidRPr="00DE6A5F">
          <w:rPr>
            <w:rFonts w:asciiTheme="majorBidi" w:hAnsiTheme="majorBidi" w:cstheme="majorBidi"/>
            <w:noProof/>
          </w:rPr>
          <w:fldChar w:fldCharType="end"/>
        </w:r>
      </w:p>
    </w:sdtContent>
  </w:sdt>
  <w:p w14:paraId="79216834" w14:textId="593EB789" w:rsidR="00DE6A5F" w:rsidRDefault="00DE6A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003B1"/>
    <w:multiLevelType w:val="hybridMultilevel"/>
    <w:tmpl w:val="E87A1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025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5D"/>
    <w:rsid w:val="00014310"/>
    <w:rsid w:val="000606D8"/>
    <w:rsid w:val="00061D57"/>
    <w:rsid w:val="000A4D63"/>
    <w:rsid w:val="000D135B"/>
    <w:rsid w:val="00155120"/>
    <w:rsid w:val="00285504"/>
    <w:rsid w:val="002A76E7"/>
    <w:rsid w:val="002B0CCF"/>
    <w:rsid w:val="0036AED9"/>
    <w:rsid w:val="003B4231"/>
    <w:rsid w:val="003F695E"/>
    <w:rsid w:val="00430686"/>
    <w:rsid w:val="004A0402"/>
    <w:rsid w:val="004A20AB"/>
    <w:rsid w:val="004D6A10"/>
    <w:rsid w:val="004E38A9"/>
    <w:rsid w:val="00576E55"/>
    <w:rsid w:val="0064187A"/>
    <w:rsid w:val="00642092"/>
    <w:rsid w:val="008C1D68"/>
    <w:rsid w:val="008C766E"/>
    <w:rsid w:val="009146DB"/>
    <w:rsid w:val="009A4FF8"/>
    <w:rsid w:val="00A01D4B"/>
    <w:rsid w:val="00A10F5C"/>
    <w:rsid w:val="00A36F51"/>
    <w:rsid w:val="00A650A7"/>
    <w:rsid w:val="00AA0453"/>
    <w:rsid w:val="00B25AC1"/>
    <w:rsid w:val="00B3712F"/>
    <w:rsid w:val="00D1115D"/>
    <w:rsid w:val="00DB7B17"/>
    <w:rsid w:val="00DE5940"/>
    <w:rsid w:val="00DE6A5F"/>
    <w:rsid w:val="00E115CC"/>
    <w:rsid w:val="00EA13CB"/>
    <w:rsid w:val="00ED0C8B"/>
    <w:rsid w:val="00F0135D"/>
    <w:rsid w:val="00F84B47"/>
    <w:rsid w:val="00F97632"/>
    <w:rsid w:val="00FC6108"/>
    <w:rsid w:val="00FF217A"/>
    <w:rsid w:val="01B33EF5"/>
    <w:rsid w:val="0398C77B"/>
    <w:rsid w:val="0497C0DF"/>
    <w:rsid w:val="06679202"/>
    <w:rsid w:val="0E45F0A1"/>
    <w:rsid w:val="0FEAC3AE"/>
    <w:rsid w:val="12FE8417"/>
    <w:rsid w:val="15FF8DB0"/>
    <w:rsid w:val="18A92732"/>
    <w:rsid w:val="18F56813"/>
    <w:rsid w:val="197427B3"/>
    <w:rsid w:val="1B31AED1"/>
    <w:rsid w:val="1EF0EC97"/>
    <w:rsid w:val="1FDC0463"/>
    <w:rsid w:val="221909B9"/>
    <w:rsid w:val="2226E545"/>
    <w:rsid w:val="22C1A0F6"/>
    <w:rsid w:val="231BAB1C"/>
    <w:rsid w:val="23C965AA"/>
    <w:rsid w:val="25BD92F0"/>
    <w:rsid w:val="2646AA3A"/>
    <w:rsid w:val="2A380161"/>
    <w:rsid w:val="2D464F5D"/>
    <w:rsid w:val="2E171C14"/>
    <w:rsid w:val="30986045"/>
    <w:rsid w:val="3DDF68CC"/>
    <w:rsid w:val="3DE46819"/>
    <w:rsid w:val="3FE22AA9"/>
    <w:rsid w:val="40606594"/>
    <w:rsid w:val="417F7FCF"/>
    <w:rsid w:val="4535B065"/>
    <w:rsid w:val="4585F504"/>
    <w:rsid w:val="48BFEAA4"/>
    <w:rsid w:val="4A66471B"/>
    <w:rsid w:val="4B690A02"/>
    <w:rsid w:val="4B82EED8"/>
    <w:rsid w:val="4C18044E"/>
    <w:rsid w:val="4F256AB5"/>
    <w:rsid w:val="529AE9AC"/>
    <w:rsid w:val="52EA3494"/>
    <w:rsid w:val="52F503BC"/>
    <w:rsid w:val="53B145B4"/>
    <w:rsid w:val="55BEA332"/>
    <w:rsid w:val="581C3A4C"/>
    <w:rsid w:val="5B7D205D"/>
    <w:rsid w:val="5FAE2A27"/>
    <w:rsid w:val="613EBE2D"/>
    <w:rsid w:val="61529645"/>
    <w:rsid w:val="68D2E3DC"/>
    <w:rsid w:val="6A415F89"/>
    <w:rsid w:val="6A7028F6"/>
    <w:rsid w:val="6F5FBCC9"/>
    <w:rsid w:val="72544CF7"/>
    <w:rsid w:val="735AED65"/>
    <w:rsid w:val="7B8F7E76"/>
    <w:rsid w:val="7EC702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0C4B"/>
  <w15:chartTrackingRefBased/>
  <w15:docId w15:val="{A7E2506A-42D3-45FD-975F-27F9FB07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135D"/>
  </w:style>
  <w:style w:type="paragraph" w:styleId="berschrift1">
    <w:name w:val="heading 1"/>
    <w:basedOn w:val="Standard"/>
    <w:next w:val="Standard"/>
    <w:link w:val="berschrift1Zchn"/>
    <w:uiPriority w:val="9"/>
    <w:qFormat/>
    <w:rsid w:val="00F01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01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013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013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013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013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13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013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13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13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13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13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13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13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13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13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13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135D"/>
    <w:rPr>
      <w:rFonts w:eastAsiaTheme="majorEastAsia" w:cstheme="majorBidi"/>
      <w:color w:val="272727" w:themeColor="text1" w:themeTint="D8"/>
    </w:rPr>
  </w:style>
  <w:style w:type="paragraph" w:styleId="Titel">
    <w:name w:val="Title"/>
    <w:basedOn w:val="Standard"/>
    <w:next w:val="Standard"/>
    <w:link w:val="TitelZchn"/>
    <w:uiPriority w:val="10"/>
    <w:qFormat/>
    <w:rsid w:val="00F01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13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135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13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13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0135D"/>
    <w:rPr>
      <w:i/>
      <w:iCs/>
      <w:color w:val="404040" w:themeColor="text1" w:themeTint="BF"/>
    </w:rPr>
  </w:style>
  <w:style w:type="paragraph" w:styleId="Listenabsatz">
    <w:name w:val="List Paragraph"/>
    <w:basedOn w:val="Standard"/>
    <w:uiPriority w:val="34"/>
    <w:qFormat/>
    <w:rsid w:val="00F0135D"/>
    <w:pPr>
      <w:ind w:left="720"/>
      <w:contextualSpacing/>
    </w:pPr>
  </w:style>
  <w:style w:type="character" w:styleId="IntensiveHervorhebung">
    <w:name w:val="Intense Emphasis"/>
    <w:basedOn w:val="Absatz-Standardschriftart"/>
    <w:uiPriority w:val="21"/>
    <w:qFormat/>
    <w:rsid w:val="00F0135D"/>
    <w:rPr>
      <w:i/>
      <w:iCs/>
      <w:color w:val="0F4761" w:themeColor="accent1" w:themeShade="BF"/>
    </w:rPr>
  </w:style>
  <w:style w:type="paragraph" w:styleId="IntensivesZitat">
    <w:name w:val="Intense Quote"/>
    <w:basedOn w:val="Standard"/>
    <w:next w:val="Standard"/>
    <w:link w:val="IntensivesZitatZchn"/>
    <w:uiPriority w:val="30"/>
    <w:qFormat/>
    <w:rsid w:val="00F01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0135D"/>
    <w:rPr>
      <w:i/>
      <w:iCs/>
      <w:color w:val="0F4761" w:themeColor="accent1" w:themeShade="BF"/>
    </w:rPr>
  </w:style>
  <w:style w:type="character" w:styleId="IntensiverVerweis">
    <w:name w:val="Intense Reference"/>
    <w:basedOn w:val="Absatz-Standardschriftart"/>
    <w:uiPriority w:val="32"/>
    <w:qFormat/>
    <w:rsid w:val="00F0135D"/>
    <w:rPr>
      <w:b/>
      <w:bCs/>
      <w:smallCaps/>
      <w:color w:val="0F4761" w:themeColor="accent1" w:themeShade="BF"/>
      <w:spacing w:val="5"/>
    </w:rPr>
  </w:style>
  <w:style w:type="character" w:styleId="Kommentarzeichen">
    <w:name w:val="annotation reference"/>
    <w:basedOn w:val="Absatz-Standardschriftart"/>
    <w:uiPriority w:val="99"/>
    <w:semiHidden/>
    <w:unhideWhenUsed/>
    <w:rsid w:val="00F0135D"/>
    <w:rPr>
      <w:sz w:val="16"/>
      <w:szCs w:val="16"/>
    </w:rPr>
  </w:style>
  <w:style w:type="paragraph" w:styleId="Kommentartext">
    <w:name w:val="annotation text"/>
    <w:basedOn w:val="Standard"/>
    <w:link w:val="KommentartextZchn"/>
    <w:uiPriority w:val="99"/>
    <w:unhideWhenUsed/>
    <w:rsid w:val="00F0135D"/>
    <w:pPr>
      <w:spacing w:line="240" w:lineRule="auto"/>
    </w:pPr>
    <w:rPr>
      <w:sz w:val="20"/>
      <w:szCs w:val="20"/>
    </w:rPr>
  </w:style>
  <w:style w:type="character" w:customStyle="1" w:styleId="KommentartextZchn">
    <w:name w:val="Kommentartext Zchn"/>
    <w:basedOn w:val="Absatz-Standardschriftart"/>
    <w:link w:val="Kommentartext"/>
    <w:uiPriority w:val="99"/>
    <w:rsid w:val="00F0135D"/>
    <w:rPr>
      <w:sz w:val="20"/>
      <w:szCs w:val="20"/>
    </w:rPr>
  </w:style>
  <w:style w:type="paragraph" w:styleId="Kopfzeile">
    <w:name w:val="header"/>
    <w:basedOn w:val="Standard"/>
    <w:link w:val="KopfzeileZchn"/>
    <w:uiPriority w:val="99"/>
    <w:unhideWhenUsed/>
    <w:rsid w:val="00DE6A5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DE6A5F"/>
  </w:style>
  <w:style w:type="paragraph" w:styleId="Fuzeile">
    <w:name w:val="footer"/>
    <w:basedOn w:val="Standard"/>
    <w:link w:val="FuzeileZchn"/>
    <w:uiPriority w:val="99"/>
    <w:unhideWhenUsed/>
    <w:rsid w:val="00DE6A5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DE6A5F"/>
  </w:style>
  <w:style w:type="character" w:styleId="Hyperlink">
    <w:name w:val="Hyperlink"/>
    <w:basedOn w:val="Absatz-Standardschriftart"/>
    <w:uiPriority w:val="99"/>
    <w:qFormat/>
    <w:rsid w:val="008C766E"/>
    <w:rPr>
      <w:color w:val="7F7F7F" w:themeColor="text1" w:themeTint="80"/>
      <w:u w:val="single"/>
    </w:rPr>
  </w:style>
  <w:style w:type="paragraph" w:customStyle="1" w:styleId="Heading">
    <w:name w:val="Heading"/>
    <w:basedOn w:val="Standard"/>
    <w:link w:val="HeadingZchn"/>
    <w:qFormat/>
    <w:rsid w:val="008C766E"/>
    <w:pPr>
      <w:spacing w:before="200" w:after="120" w:line="276" w:lineRule="auto"/>
      <w:jc w:val="both"/>
    </w:pPr>
    <w:rPr>
      <w:rFonts w:ascii="Candara" w:eastAsia="Times New Roman" w:hAnsi="Candara" w:cs="Times New Roman"/>
      <w:b/>
      <w:bCs/>
      <w:smallCaps/>
      <w:kern w:val="0"/>
      <w:sz w:val="22"/>
      <w:szCs w:val="22"/>
      <w:lang w:bidi="en-US"/>
      <w14:ligatures w14:val="none"/>
    </w:rPr>
  </w:style>
  <w:style w:type="character" w:customStyle="1" w:styleId="HeadingZchn">
    <w:name w:val="Heading Zchn"/>
    <w:basedOn w:val="Absatz-Standardschriftart"/>
    <w:link w:val="Heading"/>
    <w:rsid w:val="008C766E"/>
    <w:rPr>
      <w:rFonts w:ascii="Candara" w:eastAsia="Times New Roman" w:hAnsi="Candara" w:cs="Times New Roman"/>
      <w:b/>
      <w:bCs/>
      <w:smallCaps/>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E1F88D81AA744899000B0726BE154" ma:contentTypeVersion="16" ma:contentTypeDescription="Create a new document." ma:contentTypeScope="" ma:versionID="92711a596765c889649b97003a4339ac">
  <xsd:schema xmlns:xsd="http://www.w3.org/2001/XMLSchema" xmlns:xs="http://www.w3.org/2001/XMLSchema" xmlns:p="http://schemas.microsoft.com/office/2006/metadata/properties" xmlns:ns2="2678f186-827e-4380-a057-3d0fcc1c1189" xmlns:ns3="ae3cc293-4c54-4f8d-aa4a-79e084c9112c" targetNamespace="http://schemas.microsoft.com/office/2006/metadata/properties" ma:root="true" ma:fieldsID="c115e3d6644e99100bdf06faa9fa92a6" ns2:_="" ns3:_="">
    <xsd:import namespace="2678f186-827e-4380-a057-3d0fcc1c1189"/>
    <xsd:import namespace="ae3cc293-4c54-4f8d-aa4a-79e084c911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LengthInSeconds"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8f186-827e-4380-a057-3d0fcc1c1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cc293-4c54-4f8d-aa4a-79e084c911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30634ae-21d6-4932-a601-73e94dd77f3b}" ma:internalName="TaxCatchAll" ma:showField="CatchAllData" ma:web="ae3cc293-4c54-4f8d-aa4a-79e084c911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3cc293-4c54-4f8d-aa4a-79e084c9112c" xsi:nil="true"/>
    <lcf76f155ced4ddcb4097134ff3c332f xmlns="2678f186-827e-4380-a057-3d0fcc1c1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97A59-6568-49A5-940A-743191FFC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8f186-827e-4380-a057-3d0fcc1c1189"/>
    <ds:schemaRef ds:uri="ae3cc293-4c54-4f8d-aa4a-79e084c91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BB116-EAD0-4453-857D-8225560DC124}">
  <ds:schemaRefs>
    <ds:schemaRef ds:uri="http://schemas.microsoft.com/sharepoint/v3/contenttype/forms"/>
  </ds:schemaRefs>
</ds:datastoreItem>
</file>

<file path=customXml/itemProps3.xml><?xml version="1.0" encoding="utf-8"?>
<ds:datastoreItem xmlns:ds="http://schemas.openxmlformats.org/officeDocument/2006/customXml" ds:itemID="{16917DEF-8346-4EA6-A06D-495B5B6115C6}">
  <ds:schemaRefs>
    <ds:schemaRef ds:uri="http://schemas.microsoft.com/office/2006/metadata/properties"/>
    <ds:schemaRef ds:uri="http://schemas.microsoft.com/office/infopath/2007/PartnerControls"/>
    <ds:schemaRef ds:uri="ae3cc293-4c54-4f8d-aa4a-79e084c9112c"/>
    <ds:schemaRef ds:uri="2678f186-827e-4380-a057-3d0fcc1c11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Gauger</dc:creator>
  <cp:keywords/>
  <dc:description/>
  <cp:lastModifiedBy>Carolin Mayer</cp:lastModifiedBy>
  <cp:revision>3</cp:revision>
  <dcterms:created xsi:type="dcterms:W3CDTF">2025-10-17T15:15:00Z</dcterms:created>
  <dcterms:modified xsi:type="dcterms:W3CDTF">2025-10-17T16:14:00Z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0x0101009C4E1F88D81AA744899000B0726BE154</vt:lpwstr>
  </property>
  <property fmtid="{D5CDD505-2E9C-101B-9397-08002B2CF9AE}" pid="3" name="MediaServiceImageTags">
    <vt:lpwstr/>
  </property>
</Properties>
</file>